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7542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78213F66">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C4F05DE">
            <w:pPr>
              <w:pStyle w:val="18"/>
              <w:framePr w:wrap="notBeside" w:vAnchor="page" w:hAnchor="page" w:x="1372" w:y="568"/>
              <w:tabs>
                <w:tab w:val="clear" w:pos="4153"/>
                <w:tab w:val="clear" w:pos="8306"/>
              </w:tabs>
              <w:spacing w:line="240" w:lineRule="auto"/>
              <w:jc w:val="both"/>
              <w:rPr>
                <w:rFonts w:ascii="黑体" w:hAnsi="黑体" w:eastAsia="黑体"/>
                <w:sz w:val="21"/>
                <w:szCs w:val="21"/>
              </w:rPr>
            </w:pPr>
            <w:bookmarkStart w:id="0" w:name="ICS"/>
            <w:r>
              <w:rPr>
                <w:rFonts w:ascii="黑体" w:hAnsi="黑体" w:eastAsia="黑体" w:cs="Times New Roman"/>
                <w:kern w:val="2"/>
                <w:sz w:val="21"/>
                <w:szCs w:val="21"/>
                <w:lang w:val="en-US" w:eastAsia="zh-CN" w:bidi="ar-SA"/>
              </w:rPr>
              <w:fldChar w:fldCharType="begin">
                <w:ffData>
                  <w:name w:val="ICS"/>
                  <w:enabled/>
                  <w:calcOnExit w:val="0"/>
                  <w:textInput>
                    <w:default w:val="29.240.20"/>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29.240.20</w:t>
            </w:r>
            <w:r>
              <w:rPr>
                <w:rFonts w:ascii="黑体" w:hAnsi="黑体" w:eastAsia="黑体" w:cs="Times New Roman"/>
                <w:kern w:val="2"/>
                <w:sz w:val="21"/>
                <w:szCs w:val="21"/>
                <w:lang w:val="en-US" w:eastAsia="zh-CN" w:bidi="ar-SA"/>
              </w:rPr>
              <w:fldChar w:fldCharType="end"/>
            </w:r>
            <w:bookmarkEnd w:id="0"/>
          </w:p>
        </w:tc>
      </w:tr>
      <w:tr w14:paraId="62306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4AC8C8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8420DE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5BEEAF9B">
                  <w:pPr>
                    <w:pStyle w:val="49"/>
                    <w:framePr w:wrap="notBeside" w:vAnchor="page" w:hAnchor="page" w:x="1372" w:y="568"/>
                    <w:ind w:left="420" w:right="624"/>
                    <w:rPr>
                      <w:rFonts w:ascii="宋体" w:hAnsi="宋体"/>
                      <w:sz w:val="28"/>
                      <w:szCs w:val="28"/>
                    </w:rPr>
                  </w:pPr>
                  <w:r>
                    <w:rPr>
                      <w:rFonts w:hint="eastAsia" w:ascii="Times New Roman" w:hAnsi="Times New Roman"/>
                    </w:rPr>
                    <w:drawing>
                      <wp:anchor distT="0" distB="0" distL="114300" distR="114300" simplePos="0" relativeHeight="251661312" behindDoc="0" locked="0" layoutInCell="1" allowOverlap="1">
                        <wp:simplePos x="0" y="0"/>
                        <wp:positionH relativeFrom="column">
                          <wp:posOffset>23495</wp:posOffset>
                        </wp:positionH>
                        <wp:positionV relativeFrom="paragraph">
                          <wp:posOffset>0</wp:posOffset>
                        </wp:positionV>
                        <wp:extent cx="657225" cy="657225"/>
                        <wp:effectExtent l="0" t="0" r="1270" b="1270"/>
                        <wp:wrapSquare wrapText="bothSides"/>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34"/>
                                <a:stretch>
                                  <a:fillRect/>
                                </a:stretch>
                              </pic:blipFill>
                              <pic:spPr>
                                <a:xfrm>
                                  <a:off x="0" y="0"/>
                                  <a:ext cx="657225" cy="657225"/>
                                </a:xfrm>
                                <a:prstGeom prst="rect">
                                  <a:avLst/>
                                </a:prstGeom>
                              </pic:spPr>
                            </pic:pic>
                          </a:graphicData>
                        </a:graphic>
                      </wp:anchor>
                    </w:drawing>
                  </w:r>
                </w:p>
              </w:tc>
            </w:tr>
          </w:tbl>
          <w:p w14:paraId="384B43E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ascii="黑体" w:hAnsi="黑体" w:eastAsia="黑体" w:cs="Times New Roman"/>
                <w:kern w:val="2"/>
                <w:sz w:val="21"/>
                <w:szCs w:val="21"/>
                <w:lang w:val="en-US" w:eastAsia="zh-CN" w:bidi="ar-SA"/>
              </w:rPr>
              <w:fldChar w:fldCharType="begin">
                <w:ffData>
                  <w:name w:val="CSDN"/>
                  <w:enabled/>
                  <w:calcOnExit w:val="0"/>
                  <w:textInput>
                    <w:default w:val="F 20/29"/>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F 20/29</w:t>
            </w:r>
            <w:r>
              <w:rPr>
                <w:rFonts w:ascii="黑体" w:hAnsi="黑体" w:eastAsia="黑体" w:cs="Times New Roman"/>
                <w:kern w:val="2"/>
                <w:sz w:val="21"/>
                <w:szCs w:val="21"/>
                <w:lang w:val="en-US" w:eastAsia="zh-CN" w:bidi="ar-SA"/>
              </w:rPr>
              <w:fldChar w:fldCharType="end"/>
            </w:r>
            <w:bookmarkEnd w:id="1"/>
            <w:bookmarkStart w:id="81" w:name="_GoBack"/>
            <w:bookmarkEnd w:id="81"/>
          </w:p>
        </w:tc>
      </w:tr>
    </w:tbl>
    <w:p w14:paraId="35BC7DD4">
      <w:pPr>
        <w:pStyle w:val="50"/>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2B25D4F3">
      <w:pPr>
        <w:pStyle w:val="195"/>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CEPCA</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2025</w:t>
      </w:r>
      <w:r>
        <w:fldChar w:fldCharType="end"/>
      </w:r>
      <w:bookmarkEnd w:id="5"/>
    </w:p>
    <w:p w14:paraId="409453FE">
      <w:pPr>
        <w:pStyle w:val="196"/>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51F5298C">
      <w:pPr>
        <w:pBdr>
          <w:top w:val="none" w:color="auto" w:sz="0" w:space="0"/>
          <w:left w:val="none" w:color="auto" w:sz="0" w:space="0"/>
          <w:bottom w:val="none" w:color="auto" w:sz="0" w:space="0"/>
          <w:right w:val="none" w:color="auto" w:sz="0" w:space="0"/>
        </w:pBdr>
        <w:spacing w:line="240" w:lineRule="auto"/>
        <w:rPr>
          <w:rFonts w:ascii="黑体" w:hAnsi="黑体" w:eastAsia="黑体"/>
          <w:kern w:val="0"/>
          <w:sz w:val="10"/>
          <w:szCs w:val="10"/>
        </w:rPr>
      </w:pPr>
      <w:r>
        <w:rPr>
          <w:sz w:val="28"/>
        </w:rPr>
        <mc:AlternateContent>
          <mc:Choice Requires="wps">
            <w:drawing>
              <wp:anchor distT="0" distB="0" distL="114300" distR="114300" simplePos="0" relativeHeight="251662336" behindDoc="0" locked="0" layoutInCell="1" allowOverlap="1">
                <wp:simplePos x="0" y="0"/>
                <wp:positionH relativeFrom="column">
                  <wp:posOffset>-901700</wp:posOffset>
                </wp:positionH>
                <wp:positionV relativeFrom="paragraph">
                  <wp:posOffset>-1405890</wp:posOffset>
                </wp:positionV>
                <wp:extent cx="914400" cy="4705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1pt;margin-top:-110.7pt;height:37.05pt;width:72pt;z-index:251662336;mso-width-relative:page;mso-height-relative:page;" filled="f" stroked="f" coordsize="21600,21600" o:gfxdata="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Y0X6M2wAAAAwBAAAPAAAAAAAAAAEAIAAAACIAAABkcnMv&#10;ZG93bnJldi54bWxQSwECFAAUAAAACACHTuJAA8hR6jkCAABlBAAADgAAAAAAAAABACAAAAAqAQAA&#10;ZHJzL2Uyb0RvYy54bWxQSwUGAAAAAAYABgBZAQAA1QUAAAAA&#10;">
                <v:fill on="f" focussize="0,0"/>
                <v:stroke on="f" weight="0.5pt"/>
                <v:imagedata o:title=""/>
                <o:lock v:ext="edit" aspectratio="f"/>
                <v:textbo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txbxContent>
                </v:textbox>
              </v:shape>
            </w:pict>
          </mc:Fallback>
        </mc:AlternateContent>
      </w: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19FFBCA">
      <w:pPr>
        <w:pStyle w:val="50"/>
        <w:framePr w:w="9639" w:h="6976" w:hRule="exact" w:hSpace="0" w:vSpace="0" w:wrap="around" w:hAnchor="page" w:y="6408"/>
        <w:jc w:val="center"/>
        <w:rPr>
          <w:rFonts w:ascii="黑体" w:hAnsi="黑体" w:eastAsia="黑体"/>
          <w:b w:val="0"/>
          <w:bCs w:val="0"/>
          <w:w w:val="100"/>
        </w:rPr>
      </w:pPr>
    </w:p>
    <w:p w14:paraId="1B032C8C">
      <w:pPr>
        <w:pStyle w:val="197"/>
        <w:framePr w:h="6974" w:hRule="exact" w:wrap="around" w:x="1419" w:anchorLock="1"/>
      </w:pPr>
      <w:bookmarkStart w:id="7" w:name="CSTD_NAME"/>
      <w:r>
        <w:rPr>
          <w:rFonts w:ascii="黑体" w:hAnsi="黑体" w:eastAsia="黑体" w:cs="Times New Roman"/>
          <w:bCs/>
          <w:sz w:val="52"/>
          <w:lang w:val="en-US" w:eastAsia="zh-CN" w:bidi="ar-SA"/>
        </w:rPr>
        <w:fldChar w:fldCharType="begin">
          <w:ffData>
            <w:name w:val="CSTD_NAME"/>
            <w:enabled/>
            <w:calcOnExit w:val="0"/>
            <w:textInput>
              <w:default w:val="输变电工程生物工程联合治理技术规范&#10;微生物诱导碳酸钙沉淀法"/>
            </w:textInput>
          </w:ffData>
        </w:fldChar>
      </w:r>
      <w:r>
        <w:rPr>
          <w:rFonts w:ascii="黑体" w:hAnsi="黑体" w:eastAsia="黑体" w:cs="Times New Roman"/>
          <w:bCs/>
          <w:sz w:val="52"/>
          <w:lang w:val="en-US" w:eastAsia="zh-CN" w:bidi="ar-SA"/>
        </w:rPr>
        <w:instrText xml:space="preserve">FORMTEXT</w:instrText>
      </w:r>
      <w:r>
        <w:rPr>
          <w:rFonts w:ascii="黑体" w:hAnsi="黑体" w:eastAsia="黑体" w:cs="Times New Roman"/>
          <w:bCs/>
          <w:sz w:val="52"/>
          <w:lang w:val="en-US" w:eastAsia="zh-CN" w:bidi="ar-SA"/>
        </w:rPr>
        <w:fldChar w:fldCharType="separate"/>
      </w:r>
      <w:r>
        <w:rPr>
          <w:rFonts w:ascii="黑体" w:hAnsi="黑体" w:eastAsia="黑体" w:cs="Times New Roman"/>
          <w:bCs/>
          <w:sz w:val="52"/>
          <w:lang w:val="en-US" w:eastAsia="zh-CN" w:bidi="ar-SA"/>
        </w:rPr>
        <w:t>输变电工程生物工程联合治理技术规范
微生物诱导碳酸钙沉淀法</w:t>
      </w:r>
      <w:r>
        <w:rPr>
          <w:rFonts w:ascii="黑体" w:hAnsi="黑体" w:eastAsia="黑体" w:cs="Times New Roman"/>
          <w:bCs/>
          <w:sz w:val="52"/>
          <w:lang w:val="en-US" w:eastAsia="zh-CN" w:bidi="ar-SA"/>
        </w:rPr>
        <w:fldChar w:fldCharType="end"/>
      </w:r>
      <w:bookmarkEnd w:id="7"/>
    </w:p>
    <w:p w14:paraId="788624D1">
      <w:pPr>
        <w:framePr w:w="9639" w:h="6974" w:hRule="exact" w:wrap="around" w:vAnchor="page" w:hAnchor="page" w:x="1419" w:y="6408" w:anchorLock="1"/>
        <w:ind w:left="-1418"/>
      </w:pPr>
    </w:p>
    <w:p w14:paraId="3A9E960E">
      <w:pPr>
        <w:pStyle w:val="125"/>
        <w:framePr w:w="9639" w:h="6974" w:hRule="exact" w:wrap="around" w:vAnchor="page" w:hAnchor="page" w:x="1419" w:y="6408" w:anchorLock="1"/>
        <w:textAlignment w:val="bottom"/>
        <w:rPr>
          <w:rFonts w:eastAsia="黑体"/>
          <w:szCs w:val="28"/>
        </w:rPr>
      </w:pPr>
      <w:bookmarkStart w:id="8" w:name="ESTD_NAME"/>
      <w:r>
        <w:rPr>
          <w:rFonts w:ascii="Times New Roman" w:hAnsi="Times New Roman" w:eastAsia="黑体" w:cs="Times New Roman"/>
          <w:sz w:val="28"/>
          <w:szCs w:val="28"/>
          <w:lang w:val="en-US" w:eastAsia="zh-CN" w:bidi="ar-SA"/>
        </w:rPr>
        <w:fldChar w:fldCharType="begin">
          <w:ffData>
            <w:name w:val="ESTD_NAME"/>
            <w:enabled/>
            <w:calcOnExit w:val="0"/>
            <w:textInput>
              <w:default w:val="Technical specification for integrated biological engineering treatment in power transmission and transformation projects—Microbial-induced calcium carbonate precipitation method"/>
            </w:textInput>
          </w:ffData>
        </w:fldChar>
      </w:r>
      <w:r>
        <w:rPr>
          <w:rFonts w:ascii="Times New Roman" w:hAnsi="Times New Roman" w:eastAsia="黑体" w:cs="Times New Roman"/>
          <w:sz w:val="28"/>
          <w:szCs w:val="28"/>
          <w:lang w:val="en-US" w:eastAsia="zh-CN" w:bidi="ar-SA"/>
        </w:rPr>
        <w:instrText xml:space="preserve">FORMTEXT</w:instrText>
      </w:r>
      <w:r>
        <w:rPr>
          <w:rFonts w:ascii="Times New Roman" w:hAnsi="Times New Roman" w:eastAsia="黑体" w:cs="Times New Roman"/>
          <w:sz w:val="28"/>
          <w:szCs w:val="28"/>
          <w:lang w:val="en-US" w:eastAsia="zh-CN" w:bidi="ar-SA"/>
        </w:rPr>
        <w:fldChar w:fldCharType="separate"/>
      </w:r>
      <w:r>
        <w:rPr>
          <w:rFonts w:ascii="Times New Roman" w:hAnsi="Times New Roman" w:eastAsia="黑体" w:cs="Times New Roman"/>
          <w:sz w:val="28"/>
          <w:szCs w:val="28"/>
          <w:lang w:val="en-US" w:eastAsia="zh-CN" w:bidi="ar-SA"/>
        </w:rPr>
        <w:t>Technical specification for integrated biological engineering treatment in power transmission and transformation projects—Microbial-induced calcium carbonate precipitation method</w:t>
      </w:r>
      <w:r>
        <w:rPr>
          <w:rFonts w:ascii="Times New Roman" w:hAnsi="Times New Roman" w:eastAsia="黑体" w:cs="Times New Roman"/>
          <w:sz w:val="28"/>
          <w:szCs w:val="28"/>
          <w:lang w:val="en-US" w:eastAsia="zh-CN" w:bidi="ar-SA"/>
        </w:rPr>
        <w:fldChar w:fldCharType="end"/>
      </w:r>
      <w:bookmarkEnd w:id="8"/>
    </w:p>
    <w:p w14:paraId="1A2FADE0">
      <w:pPr>
        <w:framePr w:w="9639" w:h="6974" w:hRule="exact" w:wrap="around" w:vAnchor="page" w:hAnchor="page" w:x="1419" w:y="6408" w:anchorLock="1"/>
        <w:spacing w:line="760" w:lineRule="exact"/>
        <w:ind w:left="-1418"/>
      </w:pPr>
    </w:p>
    <w:p w14:paraId="1E26943E">
      <w:pPr>
        <w:pStyle w:val="125"/>
        <w:framePr w:w="9639" w:h="6974" w:hRule="exact" w:wrap="around" w:vAnchor="page" w:hAnchor="page" w:x="1419" w:y="6408" w:anchorLock="1"/>
        <w:textAlignment w:val="bottom"/>
        <w:rPr>
          <w:rFonts w:eastAsia="黑体"/>
          <w:szCs w:val="28"/>
        </w:rPr>
      </w:pPr>
    </w:p>
    <w:p w14:paraId="2C5FF92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0B7CBADD">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026.0</w:t>
      </w:r>
      <w:r>
        <w:rPr>
          <w:rFonts w:hint="eastAsia"/>
          <w:sz w:val="21"/>
          <w:szCs w:val="28"/>
          <w:lang w:val="en-US" w:eastAsia="zh-CN"/>
        </w:rPr>
        <w:t>7</w:t>
      </w:r>
      <w:r>
        <w:rPr>
          <w:sz w:val="21"/>
          <w:szCs w:val="28"/>
        </w:rPr>
        <w:t>.06</w:t>
      </w:r>
      <w:r>
        <w:rPr>
          <w:rFonts w:hint="eastAsia"/>
          <w:sz w:val="21"/>
          <w:szCs w:val="28"/>
        </w:rPr>
        <w:t>）</w:t>
      </w:r>
      <w:r>
        <w:rPr>
          <w:sz w:val="21"/>
          <w:szCs w:val="28"/>
        </w:rPr>
        <w:fldChar w:fldCharType="end"/>
      </w:r>
      <w:bookmarkEnd w:id="10"/>
    </w:p>
    <w:p w14:paraId="101F3BA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5C624F89">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0DBA168C">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1F25C947">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中国电力建设企业协会</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408DA86">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p>
    <w:p w14:paraId="785AF1CF">
      <w:pPr>
        <w:pStyle w:val="91"/>
        <w:spacing w:after="360"/>
        <w:rPr>
          <w:rFonts w:hint="eastAsia"/>
        </w:rPr>
      </w:pPr>
      <w:r>
        <w:rPr>
          <w:rFonts w:hint="eastAsia"/>
          <w:spacing w:val="320"/>
        </w:rPr>
        <w:t>目</w:t>
      </w:r>
      <w:r>
        <w:rPr>
          <w:rFonts w:hint="eastAsia"/>
        </w:rPr>
        <w:t>次</w:t>
      </w:r>
    </w:p>
    <w:p w14:paraId="2D8AC937">
      <w:pPr>
        <w:pStyle w:val="19"/>
        <w:tabs>
          <w:tab w:val="right" w:leader="dot" w:pos="9344"/>
        </w:tabs>
      </w:pPr>
      <w:r>
        <w:fldChar w:fldCharType="begin"/>
      </w:r>
      <w:r>
        <w:instrText xml:space="preserve"> TOC \o "1-1" \h </w:instrText>
      </w:r>
      <w:r>
        <w:fldChar w:fldCharType="separate"/>
      </w:r>
    </w:p>
    <w:sdt>
      <w:sdtPr>
        <w:rPr>
          <w:rFonts w:ascii="宋体" w:hAnsi="宋体" w:eastAsia="宋体" w:cs="Times New Roman"/>
          <w:kern w:val="2"/>
          <w:sz w:val="21"/>
          <w:szCs w:val="21"/>
          <w:lang w:val="en-US" w:eastAsia="zh-CN" w:bidi="ar-SA"/>
        </w:rPr>
        <w:id w:val="147452550"/>
        <w15:color w:val="DBDBDB"/>
        <w:docPartObj>
          <w:docPartGallery w:val="Table of Contents"/>
          <w:docPartUnique/>
        </w:docPartObj>
      </w:sdtPr>
      <w:sdtEndPr>
        <w:rPr>
          <w:rFonts w:ascii="宋体" w:hAnsi="宋体" w:eastAsia="宋体" w:cs="Times New Roman"/>
          <w:kern w:val="2"/>
          <w:sz w:val="21"/>
          <w:szCs w:val="21"/>
          <w:lang w:val="en-US" w:eastAsia="zh-CN" w:bidi="ar-SA"/>
        </w:rPr>
      </w:sdtEndPr>
      <w:sdtContent>
        <w:p w14:paraId="0718A1A5">
          <w:pPr>
            <w:spacing w:before="0" w:beforeLines="0" w:after="0" w:afterLines="0" w:line="240" w:lineRule="auto"/>
            <w:ind w:left="0" w:leftChars="0" w:right="0" w:rightChars="0" w:firstLine="0" w:firstLineChars="0"/>
            <w:jc w:val="center"/>
          </w:pPr>
        </w:p>
        <w:p w14:paraId="0BCBD256">
          <w:pPr>
            <w:pStyle w:val="19"/>
            <w:tabs>
              <w:tab w:val="right" w:leader="dot" w:pos="9354"/>
            </w:tabs>
          </w:pPr>
          <w:r>
            <w:fldChar w:fldCharType="begin"/>
          </w:r>
          <w:r>
            <w:instrText xml:space="preserve">TOC \o "1-1" \h \u </w:instrText>
          </w:r>
          <w:r>
            <w:fldChar w:fldCharType="separate"/>
          </w:r>
          <w:r>
            <w:fldChar w:fldCharType="begin"/>
          </w:r>
          <w:r>
            <w:instrText xml:space="preserve"> HYPERLINK \l _Toc22995 </w:instrText>
          </w:r>
          <w:r>
            <w:fldChar w:fldCharType="separate"/>
          </w:r>
          <w:r>
            <w:rPr>
              <w:spacing w:val="320"/>
            </w:rPr>
            <w:t>前</w:t>
          </w:r>
          <w:r>
            <w:t>言</w:t>
          </w:r>
          <w:r>
            <w:tab/>
          </w:r>
          <w:r>
            <w:fldChar w:fldCharType="begin"/>
          </w:r>
          <w:r>
            <w:instrText xml:space="preserve"> PAGEREF _Toc22995 \h </w:instrText>
          </w:r>
          <w:r>
            <w:fldChar w:fldCharType="separate"/>
          </w:r>
          <w:r>
            <w:t>II</w:t>
          </w:r>
          <w:r>
            <w:fldChar w:fldCharType="end"/>
          </w:r>
          <w:r>
            <w:fldChar w:fldCharType="end"/>
          </w:r>
        </w:p>
        <w:p w14:paraId="563FAAEA">
          <w:pPr>
            <w:pStyle w:val="19"/>
            <w:tabs>
              <w:tab w:val="right" w:leader="dot" w:pos="9354"/>
            </w:tabs>
          </w:pPr>
          <w:r>
            <w:fldChar w:fldCharType="begin"/>
          </w:r>
          <w:r>
            <w:instrText xml:space="preserve"> HYPERLINK \l _Toc7699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_Toc7699 \h </w:instrText>
          </w:r>
          <w:r>
            <w:fldChar w:fldCharType="separate"/>
          </w:r>
          <w:r>
            <w:t>1</w:t>
          </w:r>
          <w:r>
            <w:fldChar w:fldCharType="end"/>
          </w:r>
          <w:r>
            <w:fldChar w:fldCharType="end"/>
          </w:r>
        </w:p>
        <w:p w14:paraId="065DBDB5">
          <w:pPr>
            <w:pStyle w:val="19"/>
            <w:tabs>
              <w:tab w:val="right" w:leader="dot" w:pos="9354"/>
            </w:tabs>
          </w:pPr>
          <w:r>
            <w:fldChar w:fldCharType="begin"/>
          </w:r>
          <w:r>
            <w:instrText xml:space="preserve"> HYPERLINK \l _Toc5710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_Toc5710 \h </w:instrText>
          </w:r>
          <w:r>
            <w:fldChar w:fldCharType="separate"/>
          </w:r>
          <w:r>
            <w:t>1</w:t>
          </w:r>
          <w:r>
            <w:fldChar w:fldCharType="end"/>
          </w:r>
          <w:r>
            <w:fldChar w:fldCharType="end"/>
          </w:r>
        </w:p>
        <w:p w14:paraId="48F6C8C8">
          <w:pPr>
            <w:pStyle w:val="19"/>
            <w:tabs>
              <w:tab w:val="right" w:leader="dot" w:pos="9354"/>
            </w:tabs>
          </w:pPr>
          <w:r>
            <w:fldChar w:fldCharType="begin"/>
          </w:r>
          <w:r>
            <w:instrText xml:space="preserve"> HYPERLINK \l _Toc30812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_Toc30812 \h </w:instrText>
          </w:r>
          <w:r>
            <w:fldChar w:fldCharType="separate"/>
          </w:r>
          <w:r>
            <w:t>1</w:t>
          </w:r>
          <w:r>
            <w:fldChar w:fldCharType="end"/>
          </w:r>
          <w:r>
            <w:fldChar w:fldCharType="end"/>
          </w:r>
        </w:p>
        <w:p w14:paraId="3E6A042A">
          <w:pPr>
            <w:pStyle w:val="19"/>
            <w:tabs>
              <w:tab w:val="right" w:leader="dot" w:pos="9354"/>
            </w:tabs>
          </w:pPr>
          <w:r>
            <w:fldChar w:fldCharType="begin"/>
          </w:r>
          <w:r>
            <w:instrText xml:space="preserve"> HYPERLINK \l _Toc25826 </w:instrText>
          </w:r>
          <w:r>
            <w:fldChar w:fldCharType="separate"/>
          </w:r>
          <w:r>
            <w:rPr>
              <w:rFonts w:hint="eastAsia" w:ascii="黑体" w:eastAsia="黑体"/>
              <w:i w:val="0"/>
            </w:rPr>
            <w:t xml:space="preserve">4 </w:t>
          </w:r>
          <w:r>
            <w:rPr>
              <w:rFonts w:hint="eastAsia"/>
            </w:rPr>
            <w:t>基本规定</w:t>
          </w:r>
          <w:r>
            <w:tab/>
          </w:r>
          <w:r>
            <w:fldChar w:fldCharType="begin"/>
          </w:r>
          <w:r>
            <w:instrText xml:space="preserve"> PAGEREF _Toc25826 \h </w:instrText>
          </w:r>
          <w:r>
            <w:fldChar w:fldCharType="separate"/>
          </w:r>
          <w:r>
            <w:t>2</w:t>
          </w:r>
          <w:r>
            <w:fldChar w:fldCharType="end"/>
          </w:r>
          <w:r>
            <w:fldChar w:fldCharType="end"/>
          </w:r>
        </w:p>
        <w:p w14:paraId="191F1981">
          <w:pPr>
            <w:pStyle w:val="19"/>
            <w:tabs>
              <w:tab w:val="right" w:leader="dot" w:pos="9354"/>
            </w:tabs>
          </w:pPr>
          <w:r>
            <w:fldChar w:fldCharType="begin"/>
          </w:r>
          <w:r>
            <w:instrText xml:space="preserve"> HYPERLINK \l _Toc20079 </w:instrText>
          </w:r>
          <w:r>
            <w:fldChar w:fldCharType="separate"/>
          </w:r>
          <w:r>
            <w:rPr>
              <w:rFonts w:hint="eastAsia" w:ascii="黑体" w:eastAsia="黑体"/>
              <w:i w:val="0"/>
            </w:rPr>
            <w:t xml:space="preserve">5 </w:t>
          </w:r>
          <w:r>
            <w:rPr>
              <w:rFonts w:hint="eastAsia"/>
            </w:rPr>
            <w:t>生物工程联合治理设计</w:t>
          </w:r>
          <w:r>
            <w:tab/>
          </w:r>
          <w:r>
            <w:fldChar w:fldCharType="begin"/>
          </w:r>
          <w:r>
            <w:instrText xml:space="preserve"> PAGEREF _Toc20079 \h </w:instrText>
          </w:r>
          <w:r>
            <w:fldChar w:fldCharType="separate"/>
          </w:r>
          <w:r>
            <w:t>2</w:t>
          </w:r>
          <w:r>
            <w:fldChar w:fldCharType="end"/>
          </w:r>
          <w:r>
            <w:fldChar w:fldCharType="end"/>
          </w:r>
        </w:p>
        <w:p w14:paraId="62296F8A">
          <w:pPr>
            <w:pStyle w:val="19"/>
            <w:tabs>
              <w:tab w:val="right" w:leader="dot" w:pos="9354"/>
            </w:tabs>
          </w:pPr>
          <w:r>
            <w:fldChar w:fldCharType="begin"/>
          </w:r>
          <w:r>
            <w:instrText xml:space="preserve"> HYPERLINK \l _Toc3800 </w:instrText>
          </w:r>
          <w:r>
            <w:fldChar w:fldCharType="separate"/>
          </w:r>
          <w:r>
            <w:rPr>
              <w:rFonts w:hint="eastAsia" w:ascii="黑体" w:eastAsia="黑体"/>
              <w:i w:val="0"/>
            </w:rPr>
            <w:t xml:space="preserve">6 </w:t>
          </w:r>
          <w:r>
            <w:rPr>
              <w:rFonts w:hint="eastAsia"/>
            </w:rPr>
            <w:t>工程措施</w:t>
          </w:r>
          <w:r>
            <w:tab/>
          </w:r>
          <w:r>
            <w:fldChar w:fldCharType="begin"/>
          </w:r>
          <w:r>
            <w:instrText xml:space="preserve"> PAGEREF _Toc3800 \h </w:instrText>
          </w:r>
          <w:r>
            <w:fldChar w:fldCharType="separate"/>
          </w:r>
          <w:r>
            <w:t>2</w:t>
          </w:r>
          <w:r>
            <w:fldChar w:fldCharType="end"/>
          </w:r>
          <w:r>
            <w:fldChar w:fldCharType="end"/>
          </w:r>
        </w:p>
        <w:p w14:paraId="06ACE9BA">
          <w:pPr>
            <w:pStyle w:val="19"/>
            <w:tabs>
              <w:tab w:val="right" w:leader="dot" w:pos="9354"/>
            </w:tabs>
          </w:pPr>
          <w:r>
            <w:fldChar w:fldCharType="begin"/>
          </w:r>
          <w:r>
            <w:instrText xml:space="preserve"> HYPERLINK \l _Toc30493 </w:instrText>
          </w:r>
          <w:r>
            <w:fldChar w:fldCharType="separate"/>
          </w:r>
          <w:r>
            <w:rPr>
              <w:rFonts w:hint="eastAsia" w:ascii="黑体" w:eastAsia="黑体"/>
              <w:i w:val="0"/>
            </w:rPr>
            <w:t xml:space="preserve">7 </w:t>
          </w:r>
          <w:r>
            <w:rPr>
              <w:rFonts w:hint="eastAsia"/>
            </w:rPr>
            <w:t>微生物固化措施</w:t>
          </w:r>
          <w:r>
            <w:tab/>
          </w:r>
          <w:r>
            <w:fldChar w:fldCharType="begin"/>
          </w:r>
          <w:r>
            <w:instrText xml:space="preserve"> PAGEREF _Toc30493 \h </w:instrText>
          </w:r>
          <w:r>
            <w:fldChar w:fldCharType="separate"/>
          </w:r>
          <w:r>
            <w:t>3</w:t>
          </w:r>
          <w:r>
            <w:fldChar w:fldCharType="end"/>
          </w:r>
          <w:r>
            <w:fldChar w:fldCharType="end"/>
          </w:r>
        </w:p>
        <w:p w14:paraId="577557F9">
          <w:pPr>
            <w:pStyle w:val="19"/>
            <w:tabs>
              <w:tab w:val="right" w:leader="dot" w:pos="9354"/>
            </w:tabs>
          </w:pPr>
          <w:r>
            <w:fldChar w:fldCharType="begin"/>
          </w:r>
          <w:r>
            <w:instrText xml:space="preserve"> HYPERLINK \l _Toc8129 </w:instrText>
          </w:r>
          <w:r>
            <w:fldChar w:fldCharType="separate"/>
          </w:r>
          <w:r>
            <w:rPr>
              <w:rFonts w:hint="eastAsia" w:ascii="黑体" w:eastAsia="黑体"/>
              <w:i w:val="0"/>
            </w:rPr>
            <w:t xml:space="preserve">8 </w:t>
          </w:r>
          <w:r>
            <w:rPr>
              <w:rFonts w:hint="eastAsia"/>
            </w:rPr>
            <w:t>植被恢复措施</w:t>
          </w:r>
          <w:r>
            <w:tab/>
          </w:r>
          <w:r>
            <w:fldChar w:fldCharType="begin"/>
          </w:r>
          <w:r>
            <w:instrText xml:space="preserve"> PAGEREF _Toc8129 \h </w:instrText>
          </w:r>
          <w:r>
            <w:fldChar w:fldCharType="separate"/>
          </w:r>
          <w:r>
            <w:t>3</w:t>
          </w:r>
          <w:r>
            <w:fldChar w:fldCharType="end"/>
          </w:r>
          <w:r>
            <w:fldChar w:fldCharType="end"/>
          </w:r>
        </w:p>
        <w:p w14:paraId="7F15996C">
          <w:pPr>
            <w:pStyle w:val="19"/>
            <w:tabs>
              <w:tab w:val="right" w:leader="dot" w:pos="9354"/>
            </w:tabs>
          </w:pPr>
          <w:r>
            <w:fldChar w:fldCharType="begin"/>
          </w:r>
          <w:r>
            <w:instrText xml:space="preserve"> HYPERLINK \l _Toc10154 </w:instrText>
          </w:r>
          <w:r>
            <w:fldChar w:fldCharType="separate"/>
          </w:r>
          <w:r>
            <w:rPr>
              <w:rFonts w:hint="eastAsia" w:ascii="黑体" w:eastAsia="黑体"/>
              <w:i w:val="0"/>
            </w:rPr>
            <w:t xml:space="preserve">9 </w:t>
          </w:r>
          <w:r>
            <w:rPr>
              <w:rFonts w:hint="eastAsia"/>
            </w:rPr>
            <w:t>质量检验</w:t>
          </w:r>
          <w:r>
            <w:tab/>
          </w:r>
          <w:r>
            <w:fldChar w:fldCharType="begin"/>
          </w:r>
          <w:r>
            <w:instrText xml:space="preserve"> PAGEREF _Toc10154 \h </w:instrText>
          </w:r>
          <w:r>
            <w:fldChar w:fldCharType="separate"/>
          </w:r>
          <w:r>
            <w:t>4</w:t>
          </w:r>
          <w:r>
            <w:fldChar w:fldCharType="end"/>
          </w:r>
          <w:r>
            <w:fldChar w:fldCharType="end"/>
          </w:r>
        </w:p>
        <w:p w14:paraId="6EA22770">
          <w:pPr>
            <w:pStyle w:val="19"/>
            <w:tabs>
              <w:tab w:val="right" w:leader="dot" w:pos="9354"/>
            </w:tabs>
          </w:pPr>
          <w:r>
            <w:fldChar w:fldCharType="begin"/>
          </w:r>
          <w:r>
            <w:instrText xml:space="preserve"> HYPERLINK \l _Toc22497 </w:instrText>
          </w:r>
          <w:r>
            <w:fldChar w:fldCharType="separate"/>
          </w:r>
          <w:r>
            <w:rPr>
              <w:rFonts w:hint="eastAsia"/>
              <w:spacing w:val="100"/>
            </w:rPr>
            <w:t xml:space="preserve">附录A </w:t>
          </w:r>
          <w:r>
            <w:t xml:space="preserve"> </w:t>
          </w:r>
          <w:r>
            <w:rPr>
              <w:rFonts w:hint="eastAsia"/>
            </w:rPr>
            <w:t>（资料性）</w:t>
          </w:r>
          <w:r>
            <w:t xml:space="preserve"> </w:t>
          </w:r>
          <w:r>
            <w:rPr>
              <w:rFonts w:hint="eastAsia"/>
            </w:rPr>
            <w:t>微生物固化技术参考表</w:t>
          </w:r>
          <w:r>
            <w:tab/>
          </w:r>
          <w:r>
            <w:fldChar w:fldCharType="begin"/>
          </w:r>
          <w:r>
            <w:instrText xml:space="preserve"> PAGEREF _Toc22497 \h </w:instrText>
          </w:r>
          <w:r>
            <w:fldChar w:fldCharType="separate"/>
          </w:r>
          <w:r>
            <w:t>6</w:t>
          </w:r>
          <w:r>
            <w:fldChar w:fldCharType="end"/>
          </w:r>
          <w:r>
            <w:fldChar w:fldCharType="end"/>
          </w:r>
        </w:p>
        <w:p w14:paraId="1B6641DD">
          <w:pPr>
            <w:pStyle w:val="19"/>
            <w:tabs>
              <w:tab w:val="right" w:leader="dot" w:pos="9354"/>
            </w:tabs>
          </w:pPr>
          <w:r>
            <w:fldChar w:fldCharType="begin"/>
          </w:r>
          <w:r>
            <w:instrText xml:space="preserve"> HYPERLINK \l _Toc18198 </w:instrText>
          </w:r>
          <w:r>
            <w:fldChar w:fldCharType="separate"/>
          </w:r>
          <w:r>
            <w:rPr>
              <w:rFonts w:hint="eastAsia"/>
              <w:spacing w:val="100"/>
            </w:rPr>
            <w:t xml:space="preserve">附录B </w:t>
          </w:r>
          <w:r>
            <w:t xml:space="preserve"> </w:t>
          </w:r>
          <w:r>
            <w:rPr>
              <w:rFonts w:hint="eastAsia"/>
            </w:rPr>
            <w:t>（资料性）</w:t>
          </w:r>
          <w:r>
            <w:t xml:space="preserve"> </w:t>
          </w:r>
          <w:r>
            <w:rPr>
              <w:rFonts w:hint="eastAsia"/>
            </w:rPr>
            <w:t>坡面植被恢复技术植物选择参考表</w:t>
          </w:r>
          <w:r>
            <w:tab/>
          </w:r>
          <w:r>
            <w:fldChar w:fldCharType="begin"/>
          </w:r>
          <w:r>
            <w:instrText xml:space="preserve"> PAGEREF _Toc18198 \h </w:instrText>
          </w:r>
          <w:r>
            <w:fldChar w:fldCharType="separate"/>
          </w:r>
          <w:r>
            <w:t>7</w:t>
          </w:r>
          <w:r>
            <w:fldChar w:fldCharType="end"/>
          </w:r>
          <w:r>
            <w:fldChar w:fldCharType="end"/>
          </w:r>
        </w:p>
        <w:p w14:paraId="1A40D18B">
          <w:pPr>
            <w:pStyle w:val="19"/>
            <w:tabs>
              <w:tab w:val="right" w:leader="dot" w:pos="9354"/>
            </w:tabs>
          </w:pPr>
          <w:r>
            <w:fldChar w:fldCharType="begin"/>
          </w:r>
          <w:r>
            <w:instrText xml:space="preserve"> HYPERLINK \l _Toc13018 </w:instrText>
          </w:r>
          <w:r>
            <w:fldChar w:fldCharType="separate"/>
          </w:r>
          <w:r>
            <w:rPr>
              <w:rFonts w:hint="eastAsia"/>
              <w:spacing w:val="100"/>
            </w:rPr>
            <w:t xml:space="preserve">附录C </w:t>
          </w:r>
          <w:r>
            <w:t xml:space="preserve"> </w:t>
          </w:r>
          <w:r>
            <w:rPr>
              <w:rFonts w:hint="eastAsia"/>
            </w:rPr>
            <w:t>（资料性）</w:t>
          </w:r>
          <w:r>
            <w:t xml:space="preserve"> </w:t>
          </w:r>
          <w:r>
            <w:rPr>
              <w:rFonts w:hint="eastAsia"/>
            </w:rPr>
            <w:t>植被恢复施工技术参考表</w:t>
          </w:r>
          <w:r>
            <w:tab/>
          </w:r>
          <w:r>
            <w:fldChar w:fldCharType="begin"/>
          </w:r>
          <w:r>
            <w:instrText xml:space="preserve"> PAGEREF _Toc13018 \h </w:instrText>
          </w:r>
          <w:r>
            <w:fldChar w:fldCharType="separate"/>
          </w:r>
          <w:r>
            <w:t>8</w:t>
          </w:r>
          <w:r>
            <w:fldChar w:fldCharType="end"/>
          </w:r>
          <w:r>
            <w:fldChar w:fldCharType="end"/>
          </w:r>
        </w:p>
        <w:p w14:paraId="06699FC8">
          <w:pPr>
            <w:pStyle w:val="19"/>
            <w:tabs>
              <w:tab w:val="right" w:leader="dot" w:pos="9354"/>
            </w:tabs>
          </w:pPr>
          <w:r>
            <w:fldChar w:fldCharType="begin"/>
          </w:r>
          <w:r>
            <w:instrText xml:space="preserve"> HYPERLINK \l _Toc22675 </w:instrText>
          </w:r>
          <w:r>
            <w:fldChar w:fldCharType="separate"/>
          </w:r>
          <w:r>
            <w:rPr>
              <w:rFonts w:hint="eastAsia"/>
              <w:spacing w:val="100"/>
            </w:rPr>
            <w:t xml:space="preserve">附录D </w:t>
          </w:r>
          <w:r>
            <w:t xml:space="preserve"> </w:t>
          </w:r>
          <w:r>
            <w:rPr>
              <w:rFonts w:hint="eastAsia"/>
            </w:rPr>
            <w:t>（资料性）</w:t>
          </w:r>
          <w:r>
            <w:t xml:space="preserve"> </w:t>
          </w:r>
          <w:r>
            <w:rPr>
              <w:rFonts w:hint="eastAsia"/>
            </w:rPr>
            <w:t>不同防治分区植被恢复效果定量检验表</w:t>
          </w:r>
          <w:r>
            <w:tab/>
          </w:r>
          <w:r>
            <w:fldChar w:fldCharType="begin"/>
          </w:r>
          <w:r>
            <w:instrText xml:space="preserve"> PAGEREF _Toc22675 \h </w:instrText>
          </w:r>
          <w:r>
            <w:fldChar w:fldCharType="separate"/>
          </w:r>
          <w:r>
            <w:t>9</w:t>
          </w:r>
          <w:r>
            <w:fldChar w:fldCharType="end"/>
          </w:r>
          <w:r>
            <w:fldChar w:fldCharType="end"/>
          </w:r>
        </w:p>
        <w:p w14:paraId="1DA043D9">
          <w:r>
            <w:fldChar w:fldCharType="end"/>
          </w:r>
        </w:p>
      </w:sdtContent>
    </w:sdt>
    <w:p w14:paraId="0EDD87FE"/>
    <w:p w14:paraId="0B0E0779">
      <w:pPr>
        <w:rPr>
          <w:rFonts w:ascii="Calibri" w:hAnsi="Calibri" w:eastAsia="宋体" w:cs="Times New Roman"/>
          <w:kern w:val="2"/>
          <w:sz w:val="21"/>
          <w:szCs w:val="21"/>
          <w:lang w:val="en-US" w:eastAsia="zh-CN" w:bidi="ar-SA"/>
        </w:rPr>
      </w:pPr>
    </w:p>
    <w:p w14:paraId="60C81718">
      <w:pPr>
        <w:pStyle w:val="91"/>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p w14:paraId="44E877D5">
      <w:pPr>
        <w:pStyle w:val="89"/>
        <w:spacing w:before="900" w:after="360"/>
      </w:pPr>
      <w:bookmarkStart w:id="19" w:name="_Toc230557418"/>
      <w:bookmarkStart w:id="20" w:name="_Toc22995"/>
      <w:bookmarkStart w:id="21" w:name="BookMark2"/>
      <w:r>
        <w:rPr>
          <w:spacing w:val="320"/>
        </w:rPr>
        <w:t>前</w:t>
      </w:r>
      <w:r>
        <w:t>言</w:t>
      </w:r>
      <w:bookmarkEnd w:id="19"/>
      <w:bookmarkEnd w:id="20"/>
    </w:p>
    <w:p w14:paraId="07E2909A">
      <w:pPr>
        <w:pStyle w:val="56"/>
        <w:ind w:firstLine="420"/>
      </w:pPr>
      <w:r>
        <w:rPr>
          <w:rFonts w:hint="eastAsia"/>
        </w:rPr>
        <w:t>本文件按照GB/T 1.1—2020《标准化工作导则  第1部分：标准化文件的结构和起草规则》的规定起草。</w:t>
      </w:r>
    </w:p>
    <w:p w14:paraId="2A801D0F">
      <w:pPr>
        <w:pStyle w:val="56"/>
        <w:ind w:firstLine="420"/>
      </w:pPr>
      <w:r>
        <w:rPr>
          <w:rFonts w:hint="eastAsia"/>
        </w:rPr>
        <w:t>请注意本文件的某些内容可能涉及专利。本文件的发布机构不承担识别专利的责任。</w:t>
      </w:r>
    </w:p>
    <w:p w14:paraId="56B3A2AA">
      <w:pPr>
        <w:pStyle w:val="56"/>
        <w:ind w:firstLine="420"/>
        <w:rPr>
          <w:rFonts w:hint="eastAsia"/>
        </w:rPr>
      </w:pPr>
      <w:r>
        <w:rPr>
          <w:rFonts w:hint="eastAsia"/>
        </w:rPr>
        <w:t>本文件由中国电力建设企业协会提出并归口。</w:t>
      </w:r>
    </w:p>
    <w:p w14:paraId="015E0E81">
      <w:pPr>
        <w:pStyle w:val="56"/>
        <w:ind w:firstLine="420"/>
        <w:rPr>
          <w:rFonts w:hint="eastAsia"/>
        </w:rPr>
      </w:pPr>
      <w:r>
        <w:rPr>
          <w:rFonts w:hint="eastAsia"/>
        </w:rPr>
        <w:t>本文件主编单位：XXX。</w:t>
      </w:r>
    </w:p>
    <w:p w14:paraId="2F2513B4">
      <w:pPr>
        <w:pStyle w:val="56"/>
        <w:ind w:firstLine="420"/>
        <w:rPr>
          <w:rFonts w:hint="eastAsia"/>
        </w:rPr>
      </w:pPr>
      <w:r>
        <w:rPr>
          <w:rFonts w:hint="eastAsia"/>
        </w:rPr>
        <w:t>本文件参编单位：XXX。</w:t>
      </w:r>
    </w:p>
    <w:p w14:paraId="48DF7FBA">
      <w:pPr>
        <w:pStyle w:val="56"/>
        <w:ind w:firstLine="420"/>
      </w:pPr>
    </w:p>
    <w:p w14:paraId="0021EAAD">
      <w:pPr>
        <w:pStyle w:val="56"/>
        <w:ind w:firstLine="420"/>
        <w:rPr>
          <w:rFonts w:hint="eastAsia"/>
        </w:rPr>
      </w:pPr>
      <w:r>
        <w:rPr>
          <w:rFonts w:hint="eastAsia"/>
        </w:rPr>
        <w:t>本标准主要起草人员：XXX</w:t>
      </w:r>
      <w:r>
        <w:rPr>
          <w:rFonts w:hint="eastAsia"/>
        </w:rPr>
        <w:tab/>
      </w:r>
      <w:r>
        <w:rPr>
          <w:rFonts w:hint="eastAsia"/>
        </w:rPr>
        <w:tab/>
      </w:r>
      <w:r>
        <w:rPr>
          <w:rFonts w:hint="eastAsia"/>
        </w:rPr>
        <w:tab/>
      </w:r>
      <w:r>
        <w:rPr>
          <w:rFonts w:hint="eastAsia"/>
        </w:rPr>
        <w:tab/>
      </w:r>
      <w:r>
        <w:rPr>
          <w:rFonts w:hint="eastAsia"/>
        </w:rPr>
        <w:tab/>
      </w:r>
    </w:p>
    <w:p w14:paraId="1E706A1C">
      <w:pPr>
        <w:pStyle w:val="56"/>
        <w:ind w:firstLine="420"/>
      </w:pPr>
      <w:r>
        <w:tab/>
      </w:r>
      <w:r>
        <w:tab/>
      </w:r>
      <w:r>
        <w:tab/>
      </w:r>
      <w:r>
        <w:tab/>
      </w:r>
      <w:r>
        <w:tab/>
      </w:r>
      <w:r>
        <w:tab/>
      </w:r>
      <w:r>
        <w:tab/>
      </w:r>
      <w:r>
        <w:tab/>
      </w:r>
    </w:p>
    <w:p w14:paraId="7604183D">
      <w:pPr>
        <w:pStyle w:val="56"/>
        <w:ind w:firstLine="420"/>
        <w:rPr>
          <w:rFonts w:hint="eastAsia"/>
        </w:rPr>
      </w:pPr>
      <w:r>
        <w:rPr>
          <w:rFonts w:hint="eastAsia"/>
        </w:rPr>
        <w:t>本标准主要审查人员：XXX</w:t>
      </w:r>
    </w:p>
    <w:p w14:paraId="032FE519">
      <w:pPr>
        <w:pStyle w:val="56"/>
        <w:ind w:firstLine="420"/>
        <w:rPr>
          <w:rFonts w:hint="eastAsia"/>
        </w:rPr>
      </w:pPr>
      <w:r>
        <w:rPr>
          <w:rFonts w:hint="eastAsia"/>
        </w:rPr>
        <w:t>本文件为首次发布。</w:t>
      </w:r>
    </w:p>
    <w:p w14:paraId="6E30A22E">
      <w:pPr>
        <w:pStyle w:val="56"/>
        <w:ind w:firstLine="420"/>
      </w:pPr>
      <w:r>
        <w:rPr>
          <w:rFonts w:hint="eastAsia"/>
        </w:rPr>
        <w:t xml:space="preserve">本文件在执行过程中的意见或建议反馈至中国电力建设企业协会（地址：北京市丰台区西四环南路35号中都科技大厦3层，100071）。 </w:t>
      </w:r>
    </w:p>
    <w:p w14:paraId="36281C3B">
      <w:pPr>
        <w:pStyle w:val="56"/>
        <w:ind w:firstLine="420"/>
      </w:pPr>
    </w:p>
    <w:p w14:paraId="254E93C2">
      <w:pPr>
        <w:pStyle w:val="56"/>
        <w:ind w:firstLine="420"/>
      </w:pPr>
    </w:p>
    <w:p w14:paraId="51A1EEB9">
      <w:pPr>
        <w:pStyle w:val="56"/>
        <w:ind w:firstLine="420"/>
      </w:pPr>
    </w:p>
    <w:p w14:paraId="63551338">
      <w:pPr>
        <w:pStyle w:val="56"/>
        <w:ind w:firstLine="420"/>
      </w:pPr>
    </w:p>
    <w:p w14:paraId="112AEC56">
      <w:pPr>
        <w:pStyle w:val="56"/>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linePitch="312" w:charSpace="0"/>
        </w:sectPr>
      </w:pPr>
    </w:p>
    <w:bookmarkEnd w:id="21"/>
    <w:p w14:paraId="03BE8AB0">
      <w:pPr>
        <w:spacing w:line="20" w:lineRule="exact"/>
        <w:jc w:val="center"/>
        <w:rPr>
          <w:rFonts w:ascii="黑体" w:hAnsi="黑体" w:eastAsia="黑体"/>
          <w:sz w:val="32"/>
          <w:szCs w:val="32"/>
        </w:rPr>
      </w:pPr>
      <w:bookmarkStart w:id="22" w:name="BookMark4"/>
    </w:p>
    <w:p w14:paraId="45483CFA">
      <w:pPr>
        <w:spacing w:line="20" w:lineRule="exact"/>
        <w:jc w:val="center"/>
        <w:rPr>
          <w:rFonts w:ascii="黑体" w:hAnsi="黑体" w:eastAsia="黑体"/>
          <w:sz w:val="32"/>
          <w:szCs w:val="32"/>
        </w:rPr>
      </w:pPr>
    </w:p>
    <w:sdt>
      <w:sdtPr>
        <w:tag w:val="NEW_STAND_NAME"/>
        <w:id w:val="147477783"/>
        <w:lock w:val="sdtLocked"/>
        <w:placeholder>
          <w:docPart w:val="{e65c1272-81ad-44fb-9508-0e2e67b35e30}"/>
        </w:placeholder>
      </w:sdtPr>
      <w:sdtContent>
        <w:p w14:paraId="19C9D651">
          <w:pPr>
            <w:pStyle w:val="177"/>
            <w:spacing w:before="312" w:beforeLines="100" w:after="686" w:afterLines="220"/>
          </w:pPr>
          <w:bookmarkStart w:id="23" w:name="NEW_STAND_NAME"/>
          <w:r>
            <w:rPr>
              <w:rFonts w:hint="eastAsia"/>
            </w:rPr>
            <w:t>输变电工程生物工程联合治理技术规范</w:t>
          </w:r>
          <w:r>
            <w:rPr>
              <w:rFonts w:hint="eastAsia"/>
              <w:lang w:val="en-US" w:eastAsia="zh-CN"/>
            </w:rPr>
            <w:t xml:space="preserve"> </w:t>
          </w:r>
          <w:r>
            <w:br w:type="textWrapping"/>
          </w:r>
          <w:r>
            <w:t>微生物诱导碳酸钙沉淀法</w:t>
          </w:r>
        </w:p>
      </w:sdtContent>
    </w:sdt>
    <w:bookmarkEnd w:id="23"/>
    <w:p w14:paraId="663EE9FD">
      <w:pPr>
        <w:pStyle w:val="104"/>
        <w:spacing w:before="312" w:after="312"/>
      </w:pPr>
      <w:bookmarkStart w:id="24" w:name="_Toc26648465"/>
      <w:bookmarkStart w:id="25" w:name="_Toc26986771"/>
      <w:bookmarkStart w:id="26" w:name="_Toc26718930"/>
      <w:bookmarkStart w:id="27" w:name="_Toc230557419"/>
      <w:bookmarkStart w:id="28" w:name="_Toc17233325"/>
      <w:bookmarkStart w:id="29" w:name="_Toc7699"/>
      <w:bookmarkStart w:id="30" w:name="_Toc150015666"/>
      <w:bookmarkStart w:id="31" w:name="_Toc24884218"/>
      <w:bookmarkStart w:id="32" w:name="_Toc17233333"/>
      <w:bookmarkStart w:id="33" w:name="_Toc26986530"/>
      <w:bookmarkStart w:id="34" w:name="_Toc24884211"/>
      <w:bookmarkStart w:id="35" w:name="_Toc150014766"/>
      <w:bookmarkStart w:id="36" w:name="_Toc97192964"/>
      <w:r>
        <w:rPr>
          <w:rFonts w:hint="eastAsia"/>
        </w:rPr>
        <w:t>范围</w:t>
      </w:r>
      <w:bookmarkEnd w:id="24"/>
      <w:bookmarkEnd w:id="25"/>
      <w:bookmarkEnd w:id="26"/>
      <w:bookmarkEnd w:id="27"/>
      <w:bookmarkEnd w:id="28"/>
      <w:bookmarkEnd w:id="29"/>
      <w:bookmarkEnd w:id="30"/>
      <w:bookmarkEnd w:id="31"/>
      <w:bookmarkEnd w:id="32"/>
      <w:bookmarkEnd w:id="33"/>
      <w:bookmarkEnd w:id="34"/>
      <w:bookmarkEnd w:id="35"/>
      <w:bookmarkEnd w:id="36"/>
    </w:p>
    <w:p w14:paraId="570D98D1">
      <w:pPr>
        <w:pStyle w:val="56"/>
        <w:ind w:firstLine="420"/>
        <w:rPr>
          <w:rFonts w:hint="default"/>
          <w:highlight w:val="none"/>
        </w:rPr>
      </w:pPr>
      <w:bookmarkStart w:id="37" w:name="_Toc26648466"/>
      <w:bookmarkStart w:id="38" w:name="_Toc24884212"/>
      <w:bookmarkStart w:id="39" w:name="_Toc17233334"/>
      <w:bookmarkStart w:id="40" w:name="_Toc24884219"/>
      <w:bookmarkStart w:id="41" w:name="_Toc17233326"/>
      <w:r>
        <w:rPr>
          <w:rFonts w:hint="default"/>
          <w:highlight w:val="none"/>
        </w:rPr>
        <w:t>本文件规定了</w:t>
      </w:r>
      <w:r>
        <w:rPr>
          <w:rFonts w:hint="eastAsia"/>
          <w:highlight w:val="none"/>
        </w:rPr>
        <w:t>输变电工程塔基区生物工程联合治理技术微生物诱导碳酸钙沉淀法</w:t>
      </w:r>
      <w:r>
        <w:rPr>
          <w:rFonts w:hint="default"/>
          <w:highlight w:val="none"/>
        </w:rPr>
        <w:t>的</w:t>
      </w:r>
      <w:r>
        <w:rPr>
          <w:rFonts w:hint="eastAsia"/>
          <w:highlight w:val="none"/>
        </w:rPr>
        <w:t>基本规定</w:t>
      </w:r>
      <w:r>
        <w:rPr>
          <w:rFonts w:hint="eastAsia"/>
          <w:highlight w:val="none"/>
          <w:lang w:eastAsia="zh-CN"/>
        </w:rPr>
        <w:t>、</w:t>
      </w:r>
      <w:r>
        <w:rPr>
          <w:rFonts w:hint="eastAsia"/>
          <w:highlight w:val="none"/>
        </w:rPr>
        <w:t>生物工程联合治理设计</w:t>
      </w:r>
      <w:r>
        <w:rPr>
          <w:rFonts w:hint="eastAsia"/>
          <w:highlight w:val="none"/>
          <w:lang w:eastAsia="zh-CN"/>
        </w:rPr>
        <w:t>、</w:t>
      </w:r>
      <w:r>
        <w:rPr>
          <w:rFonts w:hint="eastAsia"/>
          <w:highlight w:val="none"/>
        </w:rPr>
        <w:t>工程措施</w:t>
      </w:r>
      <w:r>
        <w:rPr>
          <w:rFonts w:hint="eastAsia"/>
          <w:highlight w:val="none"/>
          <w:lang w:eastAsia="zh-CN"/>
        </w:rPr>
        <w:t>、</w:t>
      </w:r>
      <w:r>
        <w:rPr>
          <w:rFonts w:hint="eastAsia"/>
          <w:highlight w:val="none"/>
        </w:rPr>
        <w:t>微生物固化措施</w:t>
      </w:r>
      <w:r>
        <w:rPr>
          <w:rFonts w:hint="eastAsia"/>
          <w:highlight w:val="none"/>
          <w:lang w:eastAsia="zh-CN"/>
        </w:rPr>
        <w:t>、</w:t>
      </w:r>
      <w:r>
        <w:rPr>
          <w:rFonts w:hint="eastAsia"/>
          <w:highlight w:val="none"/>
        </w:rPr>
        <w:t>植被恢复措施</w:t>
      </w:r>
      <w:r>
        <w:rPr>
          <w:rFonts w:hint="default"/>
          <w:highlight w:val="none"/>
        </w:rPr>
        <w:t>及质量检验要求。</w:t>
      </w:r>
    </w:p>
    <w:p w14:paraId="6DB87C9A">
      <w:pPr>
        <w:pStyle w:val="56"/>
        <w:ind w:firstLine="420"/>
        <w:rPr>
          <w:rFonts w:hint="eastAsia" w:eastAsia="宋体"/>
          <w:highlight w:val="none"/>
          <w:lang w:eastAsia="zh-CN"/>
        </w:rPr>
      </w:pPr>
      <w:r>
        <w:rPr>
          <w:rFonts w:hint="default"/>
          <w:highlight w:val="none"/>
        </w:rPr>
        <w:t>本文件适用于输变电工程塔基区土壤条件差、易发生强烈侵蚀且难以直接植被恢复的裸露坡面治理</w:t>
      </w:r>
      <w:r>
        <w:rPr>
          <w:rFonts w:hint="eastAsia"/>
          <w:highlight w:val="none"/>
          <w:lang w:eastAsia="zh-CN"/>
        </w:rPr>
        <w:t>。</w:t>
      </w:r>
    </w:p>
    <w:p w14:paraId="1DF77826">
      <w:pPr>
        <w:pStyle w:val="104"/>
        <w:spacing w:before="312" w:after="312"/>
      </w:pPr>
      <w:bookmarkStart w:id="42" w:name="_Toc150015667"/>
      <w:bookmarkStart w:id="43" w:name="_Toc230557420"/>
      <w:bookmarkStart w:id="44" w:name="_Toc150014767"/>
      <w:bookmarkStart w:id="45" w:name="_Toc26718931"/>
      <w:bookmarkStart w:id="46" w:name="_Toc26986772"/>
      <w:bookmarkStart w:id="47" w:name="_Toc5710"/>
      <w:bookmarkStart w:id="48" w:name="_Toc26986531"/>
      <w:bookmarkStart w:id="49" w:name="_Toc97192965"/>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p>
    <w:sdt>
      <w:sdtPr>
        <w:rPr>
          <w:rFonts w:hint="eastAsia"/>
        </w:rPr>
        <w:id w:val="147459864"/>
        <w:placeholder>
          <w:docPart w:val="{78855acf-ddbb-456b-ac2f-b7a72238992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ED884B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C547ABE">
      <w:pPr>
        <w:pStyle w:val="56"/>
        <w:ind w:firstLine="420"/>
        <w:rPr>
          <w:rFonts w:hint="eastAsia"/>
        </w:rPr>
      </w:pPr>
      <w:r>
        <w:rPr>
          <w:rFonts w:hint="eastAsia"/>
        </w:rPr>
        <w:t>GB 6141  豆科主要栽培牧草种子质量分级</w:t>
      </w:r>
    </w:p>
    <w:p w14:paraId="3DB5DF4E">
      <w:pPr>
        <w:pStyle w:val="56"/>
        <w:ind w:firstLine="420"/>
      </w:pPr>
      <w:r>
        <w:rPr>
          <w:rFonts w:hint="eastAsia"/>
        </w:rPr>
        <w:t>GB 6142  禾本科草种子质量分级</w:t>
      </w:r>
    </w:p>
    <w:p w14:paraId="35DDD963">
      <w:pPr>
        <w:pStyle w:val="56"/>
        <w:ind w:firstLine="420"/>
      </w:pPr>
      <w:r>
        <w:rPr>
          <w:rFonts w:hint="eastAsia"/>
        </w:rPr>
        <w:t>GB/T 20465  水土保持术语</w:t>
      </w:r>
    </w:p>
    <w:p w14:paraId="3AE526A2">
      <w:pPr>
        <w:pStyle w:val="56"/>
        <w:ind w:firstLine="420"/>
        <w:rPr>
          <w:rFonts w:hint="eastAsia"/>
        </w:rPr>
      </w:pPr>
      <w:r>
        <w:rPr>
          <w:rFonts w:hint="eastAsia"/>
        </w:rPr>
        <w:t>GB/T 38360  裸露坡面植被恢复技术规范</w:t>
      </w:r>
    </w:p>
    <w:p w14:paraId="74E33319">
      <w:pPr>
        <w:pStyle w:val="56"/>
        <w:ind w:firstLine="420"/>
      </w:pPr>
      <w:r>
        <w:rPr>
          <w:rFonts w:hint="eastAsia"/>
        </w:rPr>
        <w:t>GB 50330  建筑边坡工程技术规范</w:t>
      </w:r>
    </w:p>
    <w:p w14:paraId="187C1E0B">
      <w:pPr>
        <w:pStyle w:val="56"/>
        <w:ind w:firstLine="420"/>
        <w:rPr>
          <w:rFonts w:hint="eastAsia"/>
        </w:rPr>
      </w:pPr>
      <w:r>
        <w:rPr>
          <w:rFonts w:hint="eastAsia"/>
        </w:rPr>
        <w:t>GB 50433  开发建设项目水土保持技术规范</w:t>
      </w:r>
    </w:p>
    <w:p w14:paraId="7508A4CB">
      <w:pPr>
        <w:pStyle w:val="56"/>
        <w:ind w:firstLine="420"/>
        <w:rPr>
          <w:rFonts w:hint="eastAsia"/>
        </w:rPr>
      </w:pPr>
      <w:r>
        <w:rPr>
          <w:rFonts w:hint="eastAsia"/>
        </w:rPr>
        <w:t>GB 51018  水土保持工程设计规范</w:t>
      </w:r>
    </w:p>
    <w:p w14:paraId="6DD9F801">
      <w:pPr>
        <w:pStyle w:val="56"/>
        <w:ind w:firstLine="420"/>
        <w:rPr>
          <w:rFonts w:hint="eastAsia"/>
        </w:rPr>
      </w:pPr>
      <w:r>
        <w:rPr>
          <w:rFonts w:hint="eastAsia"/>
        </w:rPr>
        <w:t>GB 6000  主要造林树种苗木质量分级</w:t>
      </w:r>
    </w:p>
    <w:p w14:paraId="27C43D28">
      <w:pPr>
        <w:pStyle w:val="104"/>
        <w:spacing w:before="312" w:after="312"/>
      </w:pPr>
      <w:bookmarkStart w:id="50" w:name="_Toc30812"/>
      <w:bookmarkStart w:id="51" w:name="_Toc230557421"/>
      <w:bookmarkStart w:id="52" w:name="_Toc97192966"/>
      <w:bookmarkStart w:id="53" w:name="_Toc150015668"/>
      <w:bookmarkStart w:id="54" w:name="_Toc150014768"/>
      <w:r>
        <w:rPr>
          <w:rFonts w:hint="eastAsia"/>
          <w:szCs w:val="21"/>
        </w:rPr>
        <w:t>术语和定义</w:t>
      </w:r>
      <w:bookmarkEnd w:id="50"/>
      <w:bookmarkEnd w:id="51"/>
      <w:bookmarkEnd w:id="52"/>
      <w:bookmarkEnd w:id="53"/>
      <w:bookmarkEnd w:id="54"/>
    </w:p>
    <w:sdt>
      <w:sdtPr>
        <w:id w:val="147452606"/>
        <w:placeholder>
          <w:docPart w:val="{da6857db-9d36-4869-a325-b6841cfd9d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AA64308">
          <w:pPr>
            <w:pStyle w:val="56"/>
            <w:ind w:firstLine="420"/>
          </w:pPr>
          <w:bookmarkStart w:id="55" w:name="_Toc26986532"/>
          <w:bookmarkEnd w:id="55"/>
          <w:r>
            <w:t>下列术语和定义适用于本文件。</w:t>
          </w:r>
        </w:p>
      </w:sdtContent>
    </w:sdt>
    <w:p w14:paraId="0E77F0A8">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水土流失 </w:t>
      </w:r>
      <w:r>
        <w:rPr>
          <w:rFonts w:ascii="黑体" w:hAnsi="黑体" w:eastAsia="黑体"/>
        </w:rPr>
        <w:t xml:space="preserve"> </w:t>
      </w:r>
      <w:r>
        <w:rPr>
          <w:rFonts w:hint="eastAsia" w:ascii="黑体" w:hAnsi="黑体" w:eastAsia="黑体"/>
        </w:rPr>
        <w:t>water and soil erosion</w:t>
      </w:r>
    </w:p>
    <w:p w14:paraId="437BD213">
      <w:pPr>
        <w:pStyle w:val="56"/>
        <w:ind w:firstLine="420"/>
        <w:rPr>
          <w:rFonts w:hint="eastAsia"/>
        </w:rPr>
      </w:pPr>
      <w:r>
        <w:rPr>
          <w:rFonts w:hint="eastAsia"/>
        </w:rPr>
        <w:t>由水、重力和风等外界力引起的水土资源破坏和损失。</w:t>
      </w:r>
    </w:p>
    <w:p w14:paraId="1351DBFD">
      <w:pPr>
        <w:pStyle w:val="56"/>
        <w:ind w:firstLine="420"/>
        <w:rPr>
          <w:rFonts w:hint="eastAsia"/>
        </w:rPr>
      </w:pPr>
      <w:r>
        <w:rPr>
          <w:rFonts w:hint="eastAsia"/>
        </w:rPr>
        <w:t>[来源：GB/T 20465，2.1.1，有修改]</w:t>
      </w:r>
    </w:p>
    <w:p w14:paraId="2EDA25BA">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水土保持 </w:t>
      </w:r>
      <w:r>
        <w:rPr>
          <w:rFonts w:ascii="黑体" w:hAnsi="黑体" w:eastAsia="黑体"/>
        </w:rPr>
        <w:t xml:space="preserve"> </w:t>
      </w:r>
      <w:r>
        <w:rPr>
          <w:rFonts w:hint="eastAsia" w:ascii="黑体" w:hAnsi="黑体" w:eastAsia="黑体"/>
        </w:rPr>
        <w:t>conservation of water and soil</w:t>
      </w:r>
    </w:p>
    <w:p w14:paraId="3575CC11">
      <w:pPr>
        <w:pStyle w:val="56"/>
        <w:ind w:firstLine="420"/>
        <w:rPr>
          <w:rFonts w:hint="eastAsia"/>
        </w:rPr>
      </w:pPr>
      <w:r>
        <w:rPr>
          <w:rFonts w:hint="eastAsia"/>
        </w:rPr>
        <w:t>对自然因素和人为活动造成水土流失所采取的预防和治理措施。</w:t>
      </w:r>
    </w:p>
    <w:p w14:paraId="72B10BDA">
      <w:pPr>
        <w:pStyle w:val="56"/>
        <w:ind w:firstLine="420"/>
        <w:rPr>
          <w:rFonts w:hint="eastAsia"/>
        </w:rPr>
      </w:pPr>
      <w:r>
        <w:rPr>
          <w:rFonts w:hint="eastAsia"/>
        </w:rPr>
        <w:t>[来源：GB/T 20465，2.1.9，有修改]</w:t>
      </w:r>
    </w:p>
    <w:p w14:paraId="47CB4197">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裸露坡面 </w:t>
      </w:r>
      <w:r>
        <w:rPr>
          <w:rFonts w:ascii="黑体" w:hAnsi="黑体" w:eastAsia="黑体"/>
        </w:rPr>
        <w:t xml:space="preserve"> </w:t>
      </w:r>
      <w:r>
        <w:rPr>
          <w:rFonts w:hint="eastAsia" w:ascii="黑体" w:hAnsi="黑体" w:eastAsia="黑体"/>
        </w:rPr>
        <w:t>exposed slope</w:t>
      </w:r>
    </w:p>
    <w:p w14:paraId="63B27A6E">
      <w:pPr>
        <w:pStyle w:val="56"/>
        <w:ind w:firstLine="420"/>
        <w:rPr>
          <w:rFonts w:hint="eastAsia"/>
        </w:rPr>
      </w:pPr>
      <w:r>
        <w:rPr>
          <w:rFonts w:hint="eastAsia"/>
        </w:rPr>
        <w:t>由于人为或自然因素造成的地表植被损毁和部分或全部土壤丧失的坡面。</w:t>
      </w:r>
    </w:p>
    <w:p w14:paraId="429375F1">
      <w:pPr>
        <w:pStyle w:val="56"/>
        <w:ind w:firstLine="420"/>
        <w:rPr>
          <w:rFonts w:hint="eastAsia"/>
        </w:rPr>
      </w:pPr>
      <w:r>
        <w:rPr>
          <w:rFonts w:hint="eastAsia"/>
        </w:rPr>
        <w:t>[来源：GB/T38360，3.1]</w:t>
      </w:r>
    </w:p>
    <w:p w14:paraId="1940DB19">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基坡 </w:t>
      </w:r>
      <w:r>
        <w:rPr>
          <w:rFonts w:ascii="黑体" w:hAnsi="黑体" w:eastAsia="黑体"/>
        </w:rPr>
        <w:t xml:space="preserve"> </w:t>
      </w:r>
      <w:r>
        <w:rPr>
          <w:rFonts w:hint="eastAsia" w:ascii="黑体" w:hAnsi="黑体" w:eastAsia="黑体"/>
        </w:rPr>
        <w:t>foundation slope</w:t>
      </w:r>
    </w:p>
    <w:p w14:paraId="4381B625">
      <w:pPr>
        <w:pStyle w:val="56"/>
        <w:ind w:firstLine="420"/>
        <w:rPr>
          <w:rFonts w:hint="eastAsia"/>
        </w:rPr>
      </w:pPr>
      <w:r>
        <w:rPr>
          <w:rFonts w:hint="eastAsia"/>
        </w:rPr>
        <w:t>在自然状态或经人工处理后用于建植植被的稳固坡面。</w:t>
      </w:r>
    </w:p>
    <w:p w14:paraId="332849CC">
      <w:pPr>
        <w:pStyle w:val="56"/>
        <w:ind w:firstLine="420"/>
        <w:rPr>
          <w:rFonts w:hint="eastAsia"/>
        </w:rPr>
      </w:pPr>
      <w:r>
        <w:rPr>
          <w:rFonts w:hint="eastAsia"/>
        </w:rPr>
        <w:t>[来源：GB/T 38360，3.3，有修改]</w:t>
      </w:r>
    </w:p>
    <w:p w14:paraId="76A8F661">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坡面截排水工程 </w:t>
      </w:r>
      <w:r>
        <w:rPr>
          <w:rFonts w:ascii="黑体" w:hAnsi="黑体" w:eastAsia="黑体"/>
        </w:rPr>
        <w:t xml:space="preserve"> </w:t>
      </w:r>
      <w:r>
        <w:rPr>
          <w:rFonts w:hint="eastAsia" w:ascii="黑体" w:hAnsi="黑体" w:eastAsia="黑体"/>
        </w:rPr>
        <w:t>slope cutting and drainage works</w:t>
      </w:r>
    </w:p>
    <w:p w14:paraId="7E5DBDF0">
      <w:pPr>
        <w:pStyle w:val="56"/>
        <w:ind w:firstLine="420"/>
        <w:rPr>
          <w:rFonts w:hint="eastAsia"/>
        </w:rPr>
      </w:pPr>
      <w:r>
        <w:rPr>
          <w:rFonts w:hint="eastAsia"/>
        </w:rPr>
        <w:t>为拦截和疏导坡面径流而修建的设施。</w:t>
      </w:r>
    </w:p>
    <w:p w14:paraId="657897E4">
      <w:pPr>
        <w:pStyle w:val="56"/>
        <w:ind w:firstLine="420"/>
        <w:rPr>
          <w:rFonts w:hint="eastAsia"/>
        </w:rPr>
      </w:pPr>
      <w:r>
        <w:rPr>
          <w:rFonts w:hint="eastAsia"/>
        </w:rPr>
        <w:t>[来源：GB 51018，2.0.7]</w:t>
      </w:r>
    </w:p>
    <w:p w14:paraId="6CFF1947">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微生物诱导碳酸钙沉淀 </w:t>
      </w:r>
      <w:r>
        <w:rPr>
          <w:rFonts w:ascii="黑体" w:hAnsi="黑体" w:eastAsia="黑体"/>
        </w:rPr>
        <w:t xml:space="preserve"> </w:t>
      </w:r>
      <w:r>
        <w:rPr>
          <w:rFonts w:hint="eastAsia" w:ascii="黑体" w:hAnsi="黑体" w:eastAsia="黑体"/>
        </w:rPr>
        <w:t>microbial induced calcium carbonate precipitation</w:t>
      </w:r>
    </w:p>
    <w:p w14:paraId="08220C5B">
      <w:pPr>
        <w:pStyle w:val="56"/>
        <w:ind w:firstLine="420"/>
        <w:rPr>
          <w:rFonts w:hint="eastAsia"/>
        </w:rPr>
      </w:pPr>
      <w:r>
        <w:rPr>
          <w:rFonts w:hint="eastAsia"/>
        </w:rPr>
        <w:t>向岩土体中注入特定微生物及胶结液，通过微生物的生化反应将尿素水解为铵离子与碳酸根离子，生成碳酸钙晶体，从而胶结并固结相邻土颗粒的技术。</w:t>
      </w:r>
    </w:p>
    <w:p w14:paraId="66787BC7">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植被恢复  vegetation recovery</w:t>
      </w:r>
    </w:p>
    <w:p w14:paraId="390D4613">
      <w:pPr>
        <w:pStyle w:val="56"/>
        <w:ind w:firstLine="420"/>
        <w:rPr>
          <w:rFonts w:hint="eastAsia"/>
        </w:rPr>
      </w:pPr>
      <w:r>
        <w:rPr>
          <w:rFonts w:hint="eastAsia"/>
        </w:rPr>
        <w:t>通过人工或人工与天然结合等手段使植被得到有效恢复的过程。</w:t>
      </w:r>
    </w:p>
    <w:p w14:paraId="5EBF6DC5">
      <w:pPr>
        <w:pStyle w:val="56"/>
        <w:ind w:firstLine="420"/>
        <w:rPr>
          <w:rFonts w:hint="eastAsia"/>
        </w:rPr>
      </w:pPr>
      <w:r>
        <w:rPr>
          <w:rFonts w:hint="eastAsia"/>
        </w:rPr>
        <w:t>[来源：GB/T 38360，3.2，有修改]</w:t>
      </w:r>
    </w:p>
    <w:p w14:paraId="2FAE61FA">
      <w:pPr>
        <w:pStyle w:val="104"/>
        <w:spacing w:before="312" w:after="312"/>
        <w:rPr>
          <w:rFonts w:hint="eastAsia"/>
        </w:rPr>
      </w:pPr>
      <w:bookmarkStart w:id="56" w:name="_Toc25826"/>
      <w:bookmarkStart w:id="57" w:name="_Toc230557422"/>
      <w:r>
        <w:rPr>
          <w:rFonts w:hint="eastAsia"/>
        </w:rPr>
        <w:t>基本规定</w:t>
      </w:r>
      <w:bookmarkEnd w:id="56"/>
      <w:bookmarkEnd w:id="57"/>
    </w:p>
    <w:p w14:paraId="62164C3A">
      <w:pPr>
        <w:pStyle w:val="162"/>
        <w:rPr>
          <w:rFonts w:hint="eastAsia"/>
          <w:highlight w:val="none"/>
        </w:rPr>
      </w:pPr>
      <w:r>
        <w:rPr>
          <w:rFonts w:hint="eastAsia"/>
          <w:highlight w:val="none"/>
        </w:rPr>
        <w:t>裸露坡面无法满足植被恢复土壤条件时，</w:t>
      </w:r>
      <w:r>
        <w:rPr>
          <w:rFonts w:hint="eastAsia"/>
          <w:highlight w:val="none"/>
          <w:lang w:val="en-US" w:eastAsia="zh-CN"/>
        </w:rPr>
        <w:t>宜</w:t>
      </w:r>
      <w:r>
        <w:rPr>
          <w:rFonts w:hint="eastAsia"/>
          <w:highlight w:val="none"/>
        </w:rPr>
        <w:t>采用生物</w:t>
      </w:r>
      <w:r>
        <w:rPr>
          <w:rFonts w:hint="eastAsia"/>
          <w:highlight w:val="none"/>
          <w:lang w:val="en-US" w:eastAsia="zh-CN"/>
        </w:rPr>
        <w:t>工程进行</w:t>
      </w:r>
      <w:r>
        <w:rPr>
          <w:rFonts w:hint="eastAsia"/>
          <w:highlight w:val="none"/>
        </w:rPr>
        <w:t>固化</w:t>
      </w:r>
      <w:r>
        <w:rPr>
          <w:rFonts w:hint="eastAsia"/>
          <w:highlight w:val="none"/>
          <w:lang w:eastAsia="zh-CN"/>
        </w:rPr>
        <w:t>。</w:t>
      </w:r>
    </w:p>
    <w:p w14:paraId="73175D1F">
      <w:pPr>
        <w:pStyle w:val="162"/>
        <w:rPr>
          <w:rFonts w:hint="eastAsia"/>
          <w:highlight w:val="none"/>
        </w:rPr>
      </w:pPr>
      <w:r>
        <w:rPr>
          <w:rFonts w:hint="eastAsia"/>
          <w:highlight w:val="none"/>
        </w:rPr>
        <w:t>裸露坡面微生物固化和植被恢复应在基坡条件下进行，坡面</w:t>
      </w:r>
      <w:r>
        <w:rPr>
          <w:rFonts w:hint="eastAsia"/>
          <w:highlight w:val="none"/>
          <w:lang w:val="en-US" w:eastAsia="zh-CN"/>
        </w:rPr>
        <w:t>稳定安全系数</w:t>
      </w:r>
      <w:r>
        <w:rPr>
          <w:rFonts w:hint="eastAsia"/>
          <w:highlight w:val="none"/>
        </w:rPr>
        <w:t>应达到GB 50330</w:t>
      </w:r>
      <w:r>
        <w:rPr>
          <w:rFonts w:hint="eastAsia"/>
          <w:highlight w:val="none"/>
          <w:lang w:val="en-US" w:eastAsia="zh-CN"/>
        </w:rPr>
        <w:t>中规定</w:t>
      </w:r>
      <w:r>
        <w:rPr>
          <w:rFonts w:hint="eastAsia"/>
          <w:highlight w:val="none"/>
        </w:rPr>
        <w:t>的</w:t>
      </w:r>
      <w:r>
        <w:rPr>
          <w:rFonts w:hint="eastAsia"/>
          <w:highlight w:val="none"/>
          <w:lang w:val="en-US" w:eastAsia="zh-CN"/>
        </w:rPr>
        <w:t>三级</w:t>
      </w:r>
      <w:r>
        <w:rPr>
          <w:rFonts w:hint="eastAsia"/>
          <w:highlight w:val="none"/>
        </w:rPr>
        <w:t>要求</w:t>
      </w:r>
      <w:r>
        <w:rPr>
          <w:rFonts w:hint="eastAsia"/>
          <w:highlight w:val="none"/>
          <w:lang w:eastAsia="zh-CN"/>
        </w:rPr>
        <w:t>；</w:t>
      </w:r>
      <w:r>
        <w:rPr>
          <w:rFonts w:hint="eastAsia"/>
        </w:rPr>
        <w:t>高陡边坡（坡度大于45°）应先削坡至45°以下。</w:t>
      </w:r>
    </w:p>
    <w:p w14:paraId="3BB28B2D">
      <w:pPr>
        <w:pStyle w:val="162"/>
        <w:rPr>
          <w:rFonts w:hint="eastAsia"/>
        </w:rPr>
      </w:pPr>
      <w:r>
        <w:rPr>
          <w:rFonts w:hint="eastAsia"/>
        </w:rPr>
        <w:t>对于强侵蚀区、高寒区、干旱区等复杂条件裸露坡面，应分解成若干个独立单元，分别进行菌液喷洒方案和植被恢复配置设计，做到整体规划、分别设计、分部施工，确保安全性和有效性。</w:t>
      </w:r>
    </w:p>
    <w:p w14:paraId="176C355C">
      <w:pPr>
        <w:pStyle w:val="162"/>
        <w:rPr>
          <w:rFonts w:hint="eastAsia"/>
        </w:rPr>
      </w:pPr>
      <w:r>
        <w:rPr>
          <w:rFonts w:hint="eastAsia"/>
        </w:rPr>
        <w:t>微生物固化</w:t>
      </w:r>
      <w:r>
        <w:rPr>
          <w:rFonts w:hint="eastAsia"/>
          <w:lang w:val="en-US" w:eastAsia="zh-CN"/>
        </w:rPr>
        <w:t>所用的</w:t>
      </w:r>
      <w:r>
        <w:rPr>
          <w:rFonts w:hint="eastAsia"/>
        </w:rPr>
        <w:t>胶结液浓度和菌液浓度应满足设计要求，保证材料使用安全。</w:t>
      </w:r>
    </w:p>
    <w:p w14:paraId="7629A11E">
      <w:pPr>
        <w:pStyle w:val="162"/>
        <w:rPr>
          <w:rFonts w:hint="eastAsia"/>
          <w:highlight w:val="none"/>
        </w:rPr>
      </w:pPr>
      <w:r>
        <w:rPr>
          <w:rFonts w:hint="eastAsia"/>
          <w:highlight w:val="none"/>
        </w:rPr>
        <w:t>植被恢复应综合考虑集排水、固土、建植及养护等</w:t>
      </w:r>
      <w:r>
        <w:rPr>
          <w:rFonts w:hint="eastAsia"/>
          <w:highlight w:val="none"/>
          <w:lang w:eastAsia="zh-CN"/>
        </w:rPr>
        <w:t>，</w:t>
      </w:r>
      <w:r>
        <w:rPr>
          <w:rFonts w:hint="eastAsia"/>
          <w:highlight w:val="none"/>
        </w:rPr>
        <w:t>坚持建、养、管并重原则，降低施工及养护成本</w:t>
      </w:r>
      <w:r>
        <w:rPr>
          <w:rFonts w:hint="eastAsia"/>
          <w:highlight w:val="none"/>
          <w:lang w:eastAsia="zh-CN"/>
        </w:rPr>
        <w:t>。</w:t>
      </w:r>
    </w:p>
    <w:p w14:paraId="1F9A9A36">
      <w:pPr>
        <w:pStyle w:val="162"/>
        <w:rPr>
          <w:rFonts w:hint="eastAsia"/>
        </w:rPr>
      </w:pPr>
      <w:r>
        <w:rPr>
          <w:rFonts w:hint="eastAsia"/>
        </w:rPr>
        <w:t>植物种的选择应优先选用灌木和草本植物，并坚持生物多样性原则。</w:t>
      </w:r>
    </w:p>
    <w:p w14:paraId="3B5E7FBD">
      <w:pPr>
        <w:pStyle w:val="162"/>
        <w:rPr>
          <w:rFonts w:hint="eastAsia"/>
        </w:rPr>
      </w:pPr>
      <w:r>
        <w:rPr>
          <w:rFonts w:hint="eastAsia"/>
          <w:lang w:val="en-US" w:eastAsia="zh-CN"/>
        </w:rPr>
        <w:t>北方寒冷冬季温度低于0度时，应避免进行</w:t>
      </w:r>
      <w:r>
        <w:rPr>
          <w:rFonts w:hint="eastAsia"/>
          <w:highlight w:val="none"/>
          <w:lang w:val="en-US" w:eastAsia="zh-CN"/>
        </w:rPr>
        <w:t>生物工程</w:t>
      </w:r>
      <w:r>
        <w:rPr>
          <w:rFonts w:hint="eastAsia"/>
          <w:lang w:val="en-US" w:eastAsia="zh-CN"/>
        </w:rPr>
        <w:t>固化。</w:t>
      </w:r>
    </w:p>
    <w:p w14:paraId="7A1E537A">
      <w:pPr>
        <w:pStyle w:val="104"/>
        <w:spacing w:before="312" w:after="312"/>
        <w:rPr>
          <w:rFonts w:hint="eastAsia"/>
        </w:rPr>
      </w:pPr>
      <w:bookmarkStart w:id="58" w:name="_Toc230557423"/>
      <w:bookmarkStart w:id="59" w:name="_Toc20079"/>
      <w:r>
        <w:rPr>
          <w:rFonts w:hint="eastAsia"/>
        </w:rPr>
        <w:t>生物工程联合治理设计</w:t>
      </w:r>
      <w:bookmarkEnd w:id="58"/>
      <w:bookmarkEnd w:id="59"/>
    </w:p>
    <w:p w14:paraId="12DA70B6">
      <w:pPr>
        <w:pStyle w:val="105"/>
        <w:spacing w:before="0" w:beforeLines="0" w:after="0" w:afterLines="0"/>
        <w:rPr>
          <w:rFonts w:hint="eastAsia" w:ascii="宋体" w:eastAsia="宋体"/>
          <w:highlight w:val="none"/>
        </w:rPr>
      </w:pPr>
      <w:r>
        <w:rPr>
          <w:rFonts w:hint="eastAsia" w:ascii="宋体" w:eastAsia="宋体"/>
          <w:highlight w:val="none"/>
        </w:rPr>
        <w:t>生物工程联合快速治理</w:t>
      </w:r>
      <w:r>
        <w:rPr>
          <w:rFonts w:hint="eastAsia" w:ascii="宋体" w:eastAsia="宋体"/>
          <w:highlight w:val="none"/>
          <w:lang w:val="en-US" w:eastAsia="zh-CN"/>
        </w:rPr>
        <w:t>设计</w:t>
      </w:r>
      <w:r>
        <w:rPr>
          <w:rFonts w:hint="eastAsia" w:ascii="宋体" w:eastAsia="宋体"/>
          <w:highlight w:val="none"/>
        </w:rPr>
        <w:t>的总体工作流程应包括资料收集、现场踏勘与采样、方案设计、工程施工、养护管理、质量检验及档案归档。</w:t>
      </w:r>
    </w:p>
    <w:p w14:paraId="009C647F">
      <w:pPr>
        <w:pStyle w:val="105"/>
        <w:spacing w:before="0" w:beforeLines="0" w:after="0" w:afterLines="0"/>
        <w:rPr>
          <w:rFonts w:hint="eastAsia" w:ascii="宋体" w:eastAsia="宋体"/>
          <w:highlight w:val="none"/>
        </w:rPr>
      </w:pPr>
      <w:r>
        <w:rPr>
          <w:rFonts w:hint="eastAsia" w:ascii="宋体" w:eastAsia="宋体"/>
          <w:highlight w:val="none"/>
          <w:lang w:val="en-US" w:eastAsia="zh-CN"/>
        </w:rPr>
        <w:t>联合治理</w:t>
      </w:r>
      <w:r>
        <w:rPr>
          <w:rFonts w:hint="eastAsia" w:ascii="宋体" w:eastAsia="宋体"/>
          <w:highlight w:val="none"/>
        </w:rPr>
        <w:t>设计应基于现场踏勘收集的水土流失状况、区域降雨数据、地形地貌、本土适生植被、土壤性质及其他相关资料，明确治理区域范围。</w:t>
      </w:r>
    </w:p>
    <w:p w14:paraId="785A179C">
      <w:pPr>
        <w:pStyle w:val="105"/>
        <w:spacing w:before="0" w:beforeLines="0" w:after="0" w:afterLines="0"/>
        <w:rPr>
          <w:rFonts w:hint="eastAsia" w:ascii="宋体" w:eastAsia="宋体"/>
          <w:highlight w:val="none"/>
        </w:rPr>
      </w:pPr>
      <w:r>
        <w:rPr>
          <w:rFonts w:hint="eastAsia" w:ascii="宋体" w:eastAsia="宋体"/>
          <w:highlight w:val="none"/>
        </w:rPr>
        <w:t>联合治理设计内容应包括截排水技术、微生物固化技术、植被恢复技术、养护技术等分部技术，各分部技术应综合考虑、相互衔接、配合使用。</w:t>
      </w:r>
    </w:p>
    <w:p w14:paraId="1CC72B53">
      <w:pPr>
        <w:pStyle w:val="104"/>
        <w:spacing w:before="312" w:after="312"/>
        <w:rPr>
          <w:rFonts w:hint="eastAsia"/>
        </w:rPr>
      </w:pPr>
      <w:bookmarkStart w:id="60" w:name="_Toc3800"/>
      <w:bookmarkStart w:id="61" w:name="_Toc230557424"/>
      <w:r>
        <w:rPr>
          <w:rFonts w:hint="eastAsia"/>
        </w:rPr>
        <w:t>工程措施</w:t>
      </w:r>
      <w:bookmarkEnd w:id="60"/>
      <w:bookmarkEnd w:id="61"/>
    </w:p>
    <w:p w14:paraId="7D5C1805">
      <w:pPr>
        <w:pStyle w:val="162"/>
        <w:rPr>
          <w:rFonts w:hint="eastAsia"/>
        </w:rPr>
      </w:pPr>
      <w:r>
        <w:rPr>
          <w:rFonts w:hint="eastAsia"/>
        </w:rPr>
        <w:t>工程措施应</w:t>
      </w:r>
      <w:r>
        <w:rPr>
          <w:rFonts w:hint="eastAsia"/>
          <w:lang w:val="en-US" w:eastAsia="zh-CN"/>
        </w:rPr>
        <w:t>包括</w:t>
      </w:r>
      <w:r>
        <w:rPr>
          <w:rFonts w:hint="eastAsia"/>
        </w:rPr>
        <w:t>截排水工程。</w:t>
      </w:r>
    </w:p>
    <w:p w14:paraId="6418264D">
      <w:pPr>
        <w:pStyle w:val="162"/>
        <w:rPr>
          <w:rFonts w:hint="eastAsia"/>
        </w:rPr>
      </w:pPr>
      <w:r>
        <w:rPr>
          <w:rFonts w:hint="eastAsia"/>
        </w:rPr>
        <w:t>截排水工程应依据地形地貌和汇水面积布置截水沟、排水沟及配套设施。</w:t>
      </w:r>
    </w:p>
    <w:p w14:paraId="4BDF56B9">
      <w:pPr>
        <w:pStyle w:val="162"/>
        <w:rPr>
          <w:rFonts w:hint="eastAsia"/>
        </w:rPr>
      </w:pPr>
      <w:r>
        <w:rPr>
          <w:rFonts w:hint="eastAsia"/>
        </w:rPr>
        <w:t>截排水设施应根据地形地貌及沟渠对改善塔基区土壤侵蚀、提升坡面安全性的影响综合评估确定，满足截排水要求时宜优先采用植草沟</w:t>
      </w:r>
      <w:r>
        <w:rPr>
          <w:rFonts w:hint="eastAsia"/>
          <w:lang w:eastAsia="zh-CN"/>
        </w:rPr>
        <w:t>、生态袋排水沟</w:t>
      </w:r>
      <w:r>
        <w:rPr>
          <w:rFonts w:hint="eastAsia"/>
          <w:lang w:val="en-US" w:eastAsia="zh-CN"/>
        </w:rPr>
        <w:t>等</w:t>
      </w:r>
      <w:r>
        <w:rPr>
          <w:rFonts w:hint="eastAsia"/>
        </w:rPr>
        <w:t>生态型措施。</w:t>
      </w:r>
    </w:p>
    <w:p w14:paraId="08F94FD4">
      <w:pPr>
        <w:pStyle w:val="162"/>
        <w:rPr>
          <w:rFonts w:hint="eastAsia"/>
        </w:rPr>
      </w:pPr>
      <w:r>
        <w:rPr>
          <w:rFonts w:hint="eastAsia"/>
        </w:rPr>
        <w:t>截水沟应设置在治理区域上坡侧分水岭附近；排水沟应沿坡面等高线或沟道纵向布置；配套设施应包括跌水、沉沙池</w:t>
      </w:r>
      <w:r>
        <w:rPr>
          <w:rFonts w:hint="eastAsia"/>
          <w:lang w:val="en-US" w:eastAsia="zh-CN"/>
        </w:rPr>
        <w:t>和</w:t>
      </w:r>
      <w:r>
        <w:rPr>
          <w:rFonts w:hint="eastAsia"/>
        </w:rPr>
        <w:t>消力池等。</w:t>
      </w:r>
    </w:p>
    <w:p w14:paraId="34C484C9">
      <w:pPr>
        <w:pStyle w:val="104"/>
        <w:spacing w:before="312" w:after="312"/>
        <w:rPr>
          <w:rFonts w:hint="eastAsia"/>
        </w:rPr>
      </w:pPr>
      <w:bookmarkStart w:id="62" w:name="_Toc230557425"/>
      <w:bookmarkStart w:id="63" w:name="_Toc30493"/>
      <w:r>
        <w:rPr>
          <w:rFonts w:hint="eastAsia"/>
        </w:rPr>
        <w:t>微生物固化措施</w:t>
      </w:r>
      <w:bookmarkEnd w:id="62"/>
      <w:bookmarkEnd w:id="63"/>
    </w:p>
    <w:p w14:paraId="3995DD64">
      <w:pPr>
        <w:pStyle w:val="105"/>
        <w:spacing w:before="156" w:after="156"/>
        <w:rPr>
          <w:rFonts w:hint="eastAsia"/>
        </w:rPr>
      </w:pPr>
      <w:r>
        <w:rPr>
          <w:rFonts w:hint="eastAsia"/>
        </w:rPr>
        <w:t>坡面预处理</w:t>
      </w:r>
    </w:p>
    <w:p w14:paraId="72BFC3FF">
      <w:pPr>
        <w:pStyle w:val="165"/>
        <w:rPr>
          <w:rFonts w:hint="eastAsia"/>
        </w:rPr>
      </w:pPr>
      <w:r>
        <w:rPr>
          <w:rFonts w:hint="eastAsia"/>
        </w:rPr>
        <w:t>微生物固化施工前，应进行坡面预处理，改善土体渗透性和施工条件。</w:t>
      </w:r>
    </w:p>
    <w:p w14:paraId="55A0FF2E">
      <w:pPr>
        <w:pStyle w:val="165"/>
        <w:rPr>
          <w:rFonts w:hint="eastAsia"/>
        </w:rPr>
      </w:pPr>
      <w:r>
        <w:rPr>
          <w:rFonts w:hint="eastAsia"/>
        </w:rPr>
        <w:t>坡面土壤含水率宜控制在15%～25%</w:t>
      </w:r>
      <w:r>
        <w:rPr>
          <w:rFonts w:hint="eastAsia"/>
          <w:lang w:eastAsia="zh-CN"/>
        </w:rPr>
        <w:t>（</w:t>
      </w:r>
      <w:r>
        <w:rPr>
          <w:rFonts w:hint="eastAsia"/>
          <w:lang w:val="en-US" w:eastAsia="zh-CN"/>
        </w:rPr>
        <w:t>质量含水率</w:t>
      </w:r>
      <w:r>
        <w:rPr>
          <w:rFonts w:hint="eastAsia"/>
          <w:lang w:eastAsia="zh-CN"/>
        </w:rPr>
        <w:t>）</w:t>
      </w:r>
      <w:r>
        <w:rPr>
          <w:rFonts w:hint="eastAsia"/>
        </w:rPr>
        <w:t>，黏性土取高值，砂性土取低值，不得过干或过湿。</w:t>
      </w:r>
    </w:p>
    <w:p w14:paraId="0511C0E7">
      <w:pPr>
        <w:pStyle w:val="165"/>
        <w:rPr>
          <w:rFonts w:hint="eastAsia"/>
        </w:rPr>
      </w:pPr>
      <w:r>
        <w:rPr>
          <w:rFonts w:hint="eastAsia"/>
          <w:lang w:val="en-US" w:eastAsia="zh-CN"/>
        </w:rPr>
        <w:t>坡面修整</w:t>
      </w:r>
      <w:r>
        <w:rPr>
          <w:rFonts w:hint="eastAsia"/>
        </w:rPr>
        <w:t>应清理碎石、杂草、植物残根及松散浮土，保证坡面基本平整。</w:t>
      </w:r>
    </w:p>
    <w:p w14:paraId="7B9D7491">
      <w:pPr>
        <w:pStyle w:val="165"/>
        <w:rPr>
          <w:rFonts w:hint="eastAsia"/>
        </w:rPr>
      </w:pPr>
      <w:r>
        <w:rPr>
          <w:rFonts w:hint="eastAsia"/>
        </w:rPr>
        <w:t>坡面宜划分为若干标准化作业区域，分区宜按坡度、坡向和土壤条件划分，单区面积</w:t>
      </w:r>
      <w:r>
        <w:rPr>
          <w:rFonts w:hint="eastAsia"/>
          <w:lang w:val="en-US" w:eastAsia="zh-CN"/>
        </w:rPr>
        <w:t>宜控制在</w:t>
      </w:r>
      <w:r>
        <w:rPr>
          <w:rFonts w:hint="eastAsia"/>
        </w:rPr>
        <w:t>50m</w:t>
      </w:r>
      <w:r>
        <w:rPr>
          <w:rFonts w:hint="eastAsia"/>
          <w:vertAlign w:val="superscript"/>
          <w:lang w:val="en-US" w:eastAsia="zh-CN"/>
        </w:rPr>
        <w:t>2</w:t>
      </w:r>
      <w:r>
        <w:rPr>
          <w:rFonts w:hint="eastAsia"/>
        </w:rPr>
        <w:t>～200 m</w:t>
      </w:r>
      <w:r>
        <w:rPr>
          <w:rFonts w:hint="eastAsia"/>
          <w:vertAlign w:val="superscript"/>
          <w:lang w:val="en-US" w:eastAsia="zh-CN"/>
        </w:rPr>
        <w:t>2</w:t>
      </w:r>
      <w:r>
        <w:rPr>
          <w:rFonts w:hint="eastAsia"/>
        </w:rPr>
        <w:t>，纵向长度不宜超过20 m。</w:t>
      </w:r>
    </w:p>
    <w:p w14:paraId="31925DD7">
      <w:pPr>
        <w:pStyle w:val="105"/>
        <w:spacing w:before="156" w:after="156"/>
        <w:rPr>
          <w:rFonts w:hint="eastAsia"/>
        </w:rPr>
      </w:pPr>
      <w:r>
        <w:rPr>
          <w:rFonts w:hint="eastAsia"/>
        </w:rPr>
        <w:t>微生物</w:t>
      </w:r>
      <w:r>
        <w:rPr>
          <w:rFonts w:hint="eastAsia"/>
          <w:lang w:val="en-US" w:eastAsia="zh-CN"/>
        </w:rPr>
        <w:t>固化</w:t>
      </w:r>
      <w:r>
        <w:rPr>
          <w:rFonts w:hint="eastAsia"/>
        </w:rPr>
        <w:t>措施</w:t>
      </w:r>
    </w:p>
    <w:p w14:paraId="1FBB2AF2">
      <w:pPr>
        <w:pStyle w:val="165"/>
        <w:rPr>
          <w:rFonts w:hint="eastAsia"/>
        </w:rPr>
      </w:pPr>
      <w:r>
        <w:rPr>
          <w:rFonts w:hint="eastAsia"/>
        </w:rPr>
        <w:t>微生物</w:t>
      </w:r>
      <w:r>
        <w:rPr>
          <w:rFonts w:hint="eastAsia"/>
          <w:lang w:val="en-US" w:eastAsia="zh-CN"/>
        </w:rPr>
        <w:t>固化可</w:t>
      </w:r>
      <w:r>
        <w:rPr>
          <w:rFonts w:hint="eastAsia"/>
        </w:rPr>
        <w:t>采用微生物诱导碳酸钙沉淀（MICP）技术。</w:t>
      </w:r>
    </w:p>
    <w:p w14:paraId="7EC7E4E4">
      <w:pPr>
        <w:pStyle w:val="165"/>
        <w:rPr>
          <w:rFonts w:hint="eastAsia"/>
        </w:rPr>
      </w:pPr>
      <w:r>
        <w:rPr>
          <w:rFonts w:hint="eastAsia"/>
        </w:rPr>
        <w:t>微生物措施应按固化方案设计、菌种培养与菌液制备、固化区预处理、菌液固化施工顺序进行</w:t>
      </w:r>
      <w:r>
        <w:rPr>
          <w:rFonts w:hint="eastAsia"/>
          <w:lang w:eastAsia="zh-CN"/>
        </w:rPr>
        <w:t>，</w:t>
      </w:r>
      <w:r>
        <w:rPr>
          <w:rFonts w:hint="eastAsia"/>
        </w:rPr>
        <w:t>可参考附录A。</w:t>
      </w:r>
    </w:p>
    <w:p w14:paraId="7DDD6D00">
      <w:pPr>
        <w:pStyle w:val="165"/>
        <w:rPr>
          <w:rFonts w:hint="eastAsia"/>
        </w:rPr>
      </w:pPr>
      <w:r>
        <w:rPr>
          <w:rFonts w:hint="eastAsia"/>
        </w:rPr>
        <w:t>固化方案设计应确定固化处理范围、深度、菌液浓度、胶结液配比、注入方式及注入量等参数。</w:t>
      </w:r>
    </w:p>
    <w:p w14:paraId="29A3BB54">
      <w:pPr>
        <w:pStyle w:val="165"/>
        <w:rPr>
          <w:rFonts w:hint="eastAsia"/>
        </w:rPr>
      </w:pPr>
      <w:r>
        <w:rPr>
          <w:rFonts w:hint="eastAsia"/>
        </w:rPr>
        <w:t>菌液和胶结液的制备</w:t>
      </w:r>
      <w:r>
        <w:rPr>
          <w:rFonts w:hint="eastAsia"/>
          <w:lang w:val="en-US" w:eastAsia="zh-CN"/>
        </w:rPr>
        <w:t>应</w:t>
      </w:r>
      <w:r>
        <w:rPr>
          <w:rFonts w:hint="eastAsia"/>
        </w:rPr>
        <w:t>监测菌液的吸光度（OD600）、pH 值和电导率，确保菌液能够适应当地土壤环境。</w:t>
      </w:r>
    </w:p>
    <w:p w14:paraId="75DC5B5B">
      <w:pPr>
        <w:pStyle w:val="165"/>
        <w:rPr>
          <w:rFonts w:hint="eastAsia"/>
        </w:rPr>
      </w:pPr>
      <w:r>
        <w:rPr>
          <w:rFonts w:hint="eastAsia"/>
        </w:rPr>
        <w:t>菌液和胶结液注入方式应按照设计工艺参数，选择注射、喷洒或渗灌等。</w:t>
      </w:r>
    </w:p>
    <w:p w14:paraId="1B18F71C">
      <w:pPr>
        <w:pStyle w:val="165"/>
        <w:rPr>
          <w:rFonts w:hint="eastAsia"/>
        </w:rPr>
      </w:pPr>
      <w:r>
        <w:rPr>
          <w:rFonts w:hint="eastAsia"/>
        </w:rPr>
        <w:t>菌液喷射时间间隔宜为24</w:t>
      </w:r>
      <w:r>
        <w:t> </w:t>
      </w:r>
      <w:r>
        <w:rPr>
          <w:rFonts w:hint="eastAsia"/>
        </w:rPr>
        <w:t>h～48</w:t>
      </w:r>
      <w:r>
        <w:t> </w:t>
      </w:r>
      <w:r>
        <w:rPr>
          <w:rFonts w:hint="eastAsia"/>
        </w:rPr>
        <w:t>h。</w:t>
      </w:r>
    </w:p>
    <w:p w14:paraId="419676ED">
      <w:pPr>
        <w:pStyle w:val="165"/>
        <w:rPr>
          <w:rFonts w:hint="eastAsia"/>
        </w:rPr>
      </w:pPr>
      <w:r>
        <w:rPr>
          <w:rFonts w:hint="eastAsia"/>
          <w:lang w:val="en-US" w:eastAsia="zh-CN"/>
        </w:rPr>
        <w:t>菌液</w:t>
      </w:r>
      <w:r>
        <w:rPr>
          <w:rFonts w:hint="eastAsia"/>
        </w:rPr>
        <w:t>固化处理次数宜为3次～7次。</w:t>
      </w:r>
    </w:p>
    <w:p w14:paraId="7C7C3B35">
      <w:pPr>
        <w:pStyle w:val="105"/>
        <w:spacing w:before="156" w:after="156"/>
        <w:rPr>
          <w:rFonts w:hint="eastAsia"/>
        </w:rPr>
      </w:pPr>
      <w:r>
        <w:rPr>
          <w:rFonts w:hint="eastAsia"/>
        </w:rPr>
        <w:t>养护周期措施</w:t>
      </w:r>
    </w:p>
    <w:p w14:paraId="18EB3EFD">
      <w:pPr>
        <w:pStyle w:val="165"/>
        <w:rPr>
          <w:rFonts w:hint="eastAsia"/>
        </w:rPr>
      </w:pPr>
      <w:r>
        <w:rPr>
          <w:rFonts w:hint="eastAsia"/>
        </w:rPr>
        <w:t>微生物固化施工完成后应进行专项养护，养护期间严禁固化区受到雨水冲刷、人畜践踏及机械扰动。</w:t>
      </w:r>
    </w:p>
    <w:p w14:paraId="2B49E85F">
      <w:pPr>
        <w:pStyle w:val="165"/>
        <w:rPr>
          <w:rFonts w:hint="eastAsia"/>
        </w:rPr>
      </w:pPr>
      <w:r>
        <w:rPr>
          <w:rFonts w:hint="eastAsia"/>
        </w:rPr>
        <w:t>常温</w:t>
      </w:r>
      <w:r>
        <w:rPr>
          <w:rFonts w:hint="eastAsia"/>
          <w:lang w:eastAsia="zh-CN"/>
        </w:rPr>
        <w:t>（</w:t>
      </w:r>
      <w:r>
        <w:rPr>
          <w:rFonts w:hint="eastAsia"/>
          <w:lang w:val="en-US" w:eastAsia="zh-CN"/>
        </w:rPr>
        <w:t>15℃</w:t>
      </w:r>
      <w:r>
        <w:rPr>
          <w:rFonts w:hint="eastAsia"/>
        </w:rPr>
        <w:t>～</w:t>
      </w:r>
      <w:r>
        <w:rPr>
          <w:rFonts w:hint="eastAsia"/>
          <w:lang w:val="en-US" w:eastAsia="zh-CN"/>
        </w:rPr>
        <w:t>25℃</w:t>
      </w:r>
      <w:r>
        <w:rPr>
          <w:rFonts w:hint="eastAsia"/>
          <w:lang w:eastAsia="zh-CN"/>
        </w:rPr>
        <w:t>）</w:t>
      </w:r>
      <w:r>
        <w:rPr>
          <w:rFonts w:hint="eastAsia"/>
        </w:rPr>
        <w:t>下养护周期不宜少于7</w:t>
      </w:r>
      <w:r>
        <w:t> </w:t>
      </w:r>
      <w:r>
        <w:rPr>
          <w:rFonts w:hint="eastAsia"/>
        </w:rPr>
        <w:t>d。</w:t>
      </w:r>
    </w:p>
    <w:p w14:paraId="3F6DBBDE">
      <w:pPr>
        <w:pStyle w:val="165"/>
        <w:rPr>
          <w:rFonts w:hint="eastAsia"/>
        </w:rPr>
      </w:pPr>
      <w:r>
        <w:rPr>
          <w:rFonts w:hint="eastAsia"/>
        </w:rPr>
        <w:t>养护期间应保持土体湿润，并符合以下要求：</w:t>
      </w:r>
    </w:p>
    <w:p w14:paraId="21D1616D">
      <w:pPr>
        <w:pStyle w:val="174"/>
        <w:rPr>
          <w:rFonts w:hint="eastAsia"/>
        </w:rPr>
      </w:pPr>
      <w:r>
        <w:rPr>
          <w:rFonts w:hint="eastAsia"/>
        </w:rPr>
        <w:t>陡坡地段应采取增设保水剂、微挡水坎或可降解保水膜等保水措施；</w:t>
      </w:r>
    </w:p>
    <w:p w14:paraId="60155CF6">
      <w:pPr>
        <w:pStyle w:val="174"/>
        <w:rPr>
          <w:rFonts w:hint="eastAsia"/>
        </w:rPr>
      </w:pPr>
      <w:r>
        <w:rPr>
          <w:rFonts w:hint="eastAsia"/>
        </w:rPr>
        <w:t>高温季节（</w:t>
      </w:r>
      <w:r>
        <w:rPr>
          <w:rFonts w:hint="eastAsia"/>
          <w:lang w:val="en-US" w:eastAsia="zh-CN"/>
        </w:rPr>
        <w:t>＞30℃</w:t>
      </w:r>
      <w:r>
        <w:rPr>
          <w:rFonts w:hint="eastAsia"/>
        </w:rPr>
        <w:t>）应覆盖遮阳网并配合湿草帘或无纺布保湿，不得使用透明塑料薄膜直接覆盖坡面；</w:t>
      </w:r>
    </w:p>
    <w:p w14:paraId="7E2530A7">
      <w:pPr>
        <w:pStyle w:val="174"/>
        <w:rPr>
          <w:rFonts w:hint="eastAsia"/>
        </w:rPr>
      </w:pPr>
      <w:r>
        <w:rPr>
          <w:rFonts w:hint="eastAsia"/>
        </w:rPr>
        <w:t>降雨较多地区应设置临时覆盖措施，覆盖物应具备透气性。</w:t>
      </w:r>
    </w:p>
    <w:p w14:paraId="62969C38">
      <w:pPr>
        <w:pStyle w:val="104"/>
        <w:spacing w:before="312" w:after="312"/>
        <w:rPr>
          <w:rFonts w:hint="eastAsia"/>
        </w:rPr>
      </w:pPr>
      <w:bookmarkStart w:id="64" w:name="_Toc8129"/>
      <w:bookmarkStart w:id="65" w:name="_Toc230557426"/>
      <w:r>
        <w:rPr>
          <w:rFonts w:hint="eastAsia"/>
        </w:rPr>
        <w:t>植被恢复措施</w:t>
      </w:r>
      <w:bookmarkEnd w:id="64"/>
      <w:bookmarkEnd w:id="65"/>
    </w:p>
    <w:p w14:paraId="145B14A9">
      <w:pPr>
        <w:pStyle w:val="105"/>
        <w:spacing w:before="156" w:after="156"/>
        <w:rPr>
          <w:rFonts w:hint="eastAsia"/>
        </w:rPr>
      </w:pPr>
      <w:r>
        <w:rPr>
          <w:rFonts w:hint="eastAsia"/>
        </w:rPr>
        <w:t>一般规定</w:t>
      </w:r>
    </w:p>
    <w:p w14:paraId="0E42BAB6">
      <w:pPr>
        <w:pStyle w:val="165"/>
        <w:rPr>
          <w:rFonts w:hint="eastAsia"/>
        </w:rPr>
      </w:pPr>
      <w:r>
        <w:rPr>
          <w:rFonts w:hint="eastAsia"/>
        </w:rPr>
        <w:t>植被恢复应结合恢复区气候条件、坡面类型、土壤固化和植被恢复目标确定</w:t>
      </w:r>
      <w:r>
        <w:rPr>
          <w:rFonts w:hint="eastAsia"/>
          <w:lang w:val="en-US" w:eastAsia="zh-CN"/>
        </w:rPr>
        <w:t>配置类型</w:t>
      </w:r>
      <w:r>
        <w:rPr>
          <w:rFonts w:hint="eastAsia"/>
          <w:lang w:eastAsia="zh-CN"/>
        </w:rPr>
        <w:t>，</w:t>
      </w:r>
      <w:r>
        <w:rPr>
          <w:rFonts w:hint="eastAsia"/>
        </w:rPr>
        <w:t>可分为灌草型、灌丛型和草本型</w:t>
      </w:r>
      <w:r>
        <w:rPr>
          <w:rFonts w:hint="eastAsia"/>
          <w:lang w:eastAsia="zh-CN"/>
        </w:rPr>
        <w:t>。</w:t>
      </w:r>
    </w:p>
    <w:p w14:paraId="04C97D49">
      <w:pPr>
        <w:pStyle w:val="165"/>
        <w:rPr>
          <w:rFonts w:hint="eastAsia"/>
        </w:rPr>
      </w:pPr>
      <w:r>
        <w:rPr>
          <w:rFonts w:hint="eastAsia"/>
        </w:rPr>
        <w:t>草灌种植比例、密度及间距</w:t>
      </w:r>
      <w:r>
        <w:rPr>
          <w:rFonts w:hint="eastAsia"/>
          <w:lang w:val="en-US" w:eastAsia="zh-CN"/>
        </w:rPr>
        <w:t>应根据</w:t>
      </w:r>
      <w:r>
        <w:rPr>
          <w:rFonts w:hint="eastAsia"/>
        </w:rPr>
        <w:t>配置类型确定。</w:t>
      </w:r>
    </w:p>
    <w:p w14:paraId="254ED361">
      <w:pPr>
        <w:pStyle w:val="165"/>
        <w:rPr>
          <w:rFonts w:hint="eastAsia"/>
        </w:rPr>
      </w:pPr>
      <w:r>
        <w:rPr>
          <w:rFonts w:hint="eastAsia"/>
        </w:rPr>
        <w:t>植物种类及草本和灌木植物的选择</w:t>
      </w:r>
      <w:r>
        <w:rPr>
          <w:rFonts w:hint="eastAsia"/>
          <w:lang w:val="en-US" w:eastAsia="zh-CN"/>
        </w:rPr>
        <w:t>宜</w:t>
      </w:r>
      <w:r>
        <w:rPr>
          <w:rFonts w:hint="eastAsia"/>
        </w:rPr>
        <w:t>优先选用本土适生性强、耐旱耐贫瘠、根系发达的品种，严禁引入外来入侵物种</w:t>
      </w:r>
      <w:r>
        <w:rPr>
          <w:rFonts w:hint="eastAsia"/>
          <w:lang w:eastAsia="zh-CN"/>
        </w:rPr>
        <w:t>；</w:t>
      </w:r>
      <w:r>
        <w:rPr>
          <w:rFonts w:hint="eastAsia"/>
          <w:lang w:val="en-US" w:eastAsia="zh-CN"/>
        </w:rPr>
        <w:t>植物种类选择</w:t>
      </w:r>
      <w:r>
        <w:rPr>
          <w:rFonts w:hint="eastAsia"/>
        </w:rPr>
        <w:t>可参考附录B。</w:t>
      </w:r>
    </w:p>
    <w:p w14:paraId="6C63D1D0">
      <w:pPr>
        <w:pStyle w:val="165"/>
        <w:rPr>
          <w:rFonts w:hint="eastAsia"/>
        </w:rPr>
      </w:pPr>
      <w:r>
        <w:rPr>
          <w:rFonts w:hint="eastAsia"/>
        </w:rPr>
        <w:t>植物种子、苗木质量应符合GB 6000第3章、GB 6141第4章、GB 6142第4章中一级苗木的相关要求。</w:t>
      </w:r>
    </w:p>
    <w:p w14:paraId="0A2AEFE0">
      <w:pPr>
        <w:pStyle w:val="165"/>
        <w:rPr>
          <w:rFonts w:hint="eastAsia"/>
        </w:rPr>
      </w:pPr>
      <w:r>
        <w:rPr>
          <w:rFonts w:hint="eastAsia"/>
        </w:rPr>
        <w:t>植被种植应在微生物固化层达到设计强度后进行。</w:t>
      </w:r>
    </w:p>
    <w:p w14:paraId="16040BA5">
      <w:pPr>
        <w:pStyle w:val="165"/>
        <w:rPr>
          <w:rFonts w:hint="eastAsia"/>
        </w:rPr>
      </w:pPr>
      <w:r>
        <w:rPr>
          <w:rFonts w:hint="eastAsia"/>
        </w:rPr>
        <w:t>土壤养分匮乏、水分不足</w:t>
      </w:r>
      <w:r>
        <w:rPr>
          <w:rFonts w:hint="eastAsia"/>
          <w:lang w:val="en-US" w:eastAsia="zh-CN"/>
        </w:rPr>
        <w:t>区域</w:t>
      </w:r>
      <w:r>
        <w:rPr>
          <w:rFonts w:hint="eastAsia"/>
        </w:rPr>
        <w:t>进行植被恢复前应根据</w:t>
      </w:r>
      <w:r>
        <w:rPr>
          <w:rFonts w:hint="eastAsia"/>
          <w:lang w:val="en-US" w:eastAsia="zh-CN"/>
        </w:rPr>
        <w:t>种植穴内</w:t>
      </w:r>
      <w:r>
        <w:rPr>
          <w:rFonts w:hint="eastAsia"/>
        </w:rPr>
        <w:t>土壤状况进行改良。</w:t>
      </w:r>
    </w:p>
    <w:p w14:paraId="2DFD5511">
      <w:pPr>
        <w:pStyle w:val="165"/>
        <w:rPr>
          <w:rFonts w:hint="eastAsia"/>
        </w:rPr>
      </w:pPr>
      <w:r>
        <w:rPr>
          <w:rFonts w:hint="eastAsia"/>
        </w:rPr>
        <w:t>植被种植后宜进行必要的日常养护管理，包括浇水、施肥和病虫害防治等。</w:t>
      </w:r>
    </w:p>
    <w:p w14:paraId="032C7C0E">
      <w:pPr>
        <w:pStyle w:val="105"/>
        <w:spacing w:before="156" w:after="156"/>
        <w:rPr>
          <w:rFonts w:hint="eastAsia"/>
        </w:rPr>
      </w:pPr>
      <w:r>
        <w:rPr>
          <w:rFonts w:hint="eastAsia"/>
        </w:rPr>
        <w:t>植物种植</w:t>
      </w:r>
    </w:p>
    <w:p w14:paraId="29FA041A">
      <w:pPr>
        <w:pStyle w:val="165"/>
        <w:rPr>
          <w:rFonts w:hint="eastAsia"/>
        </w:rPr>
      </w:pPr>
      <w:r>
        <w:rPr>
          <w:rFonts w:hint="eastAsia"/>
        </w:rPr>
        <w:t>植物的种植方式应根据坡面条件采用喷播、穴植、条植等</w:t>
      </w:r>
      <w:r>
        <w:rPr>
          <w:rFonts w:hint="eastAsia"/>
          <w:lang w:eastAsia="zh-CN"/>
        </w:rPr>
        <w:t>，</w:t>
      </w:r>
      <w:r>
        <w:rPr>
          <w:rFonts w:hint="eastAsia"/>
          <w:lang w:val="en-US" w:eastAsia="zh-CN"/>
        </w:rPr>
        <w:t>具体</w:t>
      </w:r>
      <w:r>
        <w:rPr>
          <w:rFonts w:hint="eastAsia"/>
        </w:rPr>
        <w:t>参考附录C。</w:t>
      </w:r>
    </w:p>
    <w:p w14:paraId="0A3AB75A">
      <w:pPr>
        <w:pStyle w:val="165"/>
        <w:rPr>
          <w:rFonts w:hint="eastAsia"/>
        </w:rPr>
      </w:pPr>
      <w:r>
        <w:rPr>
          <w:rFonts w:hint="eastAsia"/>
        </w:rPr>
        <w:t>土壤改良应选用环境友好型材料改良土壤结构、肥力和生物学活性。</w:t>
      </w:r>
    </w:p>
    <w:p w14:paraId="33F62ADF">
      <w:pPr>
        <w:pStyle w:val="165"/>
        <w:rPr>
          <w:rFonts w:hint="eastAsia"/>
        </w:rPr>
      </w:pPr>
      <w:r>
        <w:rPr>
          <w:rFonts w:hint="eastAsia"/>
        </w:rPr>
        <w:t>播种量应综合考虑种子千粒重、发芽率、期望植株密度、发芽势及苗木生长速度等因素，并结合坡面类型、立地条件及植被配置类型确定。</w:t>
      </w:r>
    </w:p>
    <w:p w14:paraId="192753A8">
      <w:pPr>
        <w:pStyle w:val="165"/>
        <w:rPr>
          <w:rFonts w:hint="eastAsia"/>
        </w:rPr>
      </w:pPr>
      <w:r>
        <w:rPr>
          <w:rFonts w:hint="eastAsia"/>
        </w:rPr>
        <w:t>先锋植物与其他植物的比例及用量应根据植物配置</w:t>
      </w:r>
      <w:r>
        <w:rPr>
          <w:rFonts w:hint="eastAsia"/>
          <w:lang w:val="en-US" w:eastAsia="zh-CN"/>
        </w:rPr>
        <w:t>类型</w:t>
      </w:r>
      <w:r>
        <w:rPr>
          <w:rFonts w:hint="eastAsia"/>
        </w:rPr>
        <w:t>确定</w:t>
      </w:r>
      <w:r>
        <w:rPr>
          <w:rFonts w:hint="eastAsia"/>
          <w:lang w:eastAsia="zh-CN"/>
        </w:rPr>
        <w:t>。</w:t>
      </w:r>
    </w:p>
    <w:p w14:paraId="18AB0085">
      <w:pPr>
        <w:pStyle w:val="165"/>
        <w:rPr>
          <w:rFonts w:hint="eastAsia"/>
        </w:rPr>
      </w:pPr>
      <w:r>
        <w:rPr>
          <w:rFonts w:hint="eastAsia"/>
        </w:rPr>
        <w:t>采用</w:t>
      </w:r>
      <w:r>
        <w:rPr>
          <w:rFonts w:hint="eastAsia"/>
          <w:lang w:val="en-US" w:eastAsia="zh-CN"/>
        </w:rPr>
        <w:t>穴植、条植</w:t>
      </w:r>
      <w:r>
        <w:rPr>
          <w:rFonts w:hint="eastAsia"/>
        </w:rPr>
        <w:t>方式进行植被恢复时，植被种植后应及时浇透定根水。</w:t>
      </w:r>
    </w:p>
    <w:p w14:paraId="55D7248C">
      <w:pPr>
        <w:pStyle w:val="165"/>
        <w:rPr>
          <w:rFonts w:hint="eastAsia"/>
        </w:rPr>
      </w:pPr>
      <w:r>
        <w:rPr>
          <w:rFonts w:hint="eastAsia"/>
        </w:rPr>
        <w:t>播种、移栽后宜采用生态环保可降解材料及时进行坡面遮盖</w:t>
      </w:r>
      <w:r>
        <w:rPr>
          <w:rFonts w:hint="eastAsia"/>
          <w:lang w:eastAsia="zh-CN"/>
        </w:rPr>
        <w:t>，</w:t>
      </w:r>
      <w:r>
        <w:rPr>
          <w:rFonts w:hint="eastAsia"/>
        </w:rPr>
        <w:t>以保湿为主的遮盖宜选用草帘、无纺布等材料；以遮阳、防冲刷为主的遮盖宜选用无纺布、遮阳网等材料。</w:t>
      </w:r>
    </w:p>
    <w:p w14:paraId="79964499">
      <w:pPr>
        <w:pStyle w:val="165"/>
        <w:rPr>
          <w:rFonts w:hint="eastAsia"/>
        </w:rPr>
      </w:pPr>
      <w:r>
        <w:rPr>
          <w:rFonts w:hint="eastAsia"/>
        </w:rPr>
        <w:t>应定期观测植物发芽及生长情况，待幼苗出土并生长稳定后揭除遮盖物，并进行补植。</w:t>
      </w:r>
    </w:p>
    <w:p w14:paraId="529E2F07">
      <w:pPr>
        <w:pStyle w:val="165"/>
        <w:rPr>
          <w:rFonts w:hint="eastAsia"/>
        </w:rPr>
      </w:pPr>
      <w:r>
        <w:rPr>
          <w:rFonts w:hint="eastAsia"/>
        </w:rPr>
        <w:t>生态环保可降解型遮盖材料在不影响植物生长及周边环境的情况下可保留。</w:t>
      </w:r>
    </w:p>
    <w:p w14:paraId="68D43F93">
      <w:pPr>
        <w:pStyle w:val="105"/>
        <w:spacing w:before="156" w:after="156"/>
        <w:rPr>
          <w:rFonts w:hint="eastAsia"/>
        </w:rPr>
      </w:pPr>
      <w:r>
        <w:rPr>
          <w:rFonts w:hint="eastAsia"/>
        </w:rPr>
        <w:t>日常养护</w:t>
      </w:r>
    </w:p>
    <w:p w14:paraId="726793F7">
      <w:pPr>
        <w:pStyle w:val="165"/>
        <w:rPr>
          <w:rFonts w:hint="eastAsia"/>
        </w:rPr>
      </w:pPr>
      <w:r>
        <w:rPr>
          <w:rFonts w:hint="eastAsia"/>
        </w:rPr>
        <w:t>施工后1年～2年内，宜根据土壤肥力状况及植被需肥特点施肥，做到适时、适度、适量。</w:t>
      </w:r>
    </w:p>
    <w:p w14:paraId="1D7F5DE3">
      <w:pPr>
        <w:pStyle w:val="165"/>
        <w:rPr>
          <w:rFonts w:hint="eastAsia"/>
        </w:rPr>
      </w:pPr>
      <w:r>
        <w:rPr>
          <w:rFonts w:hint="eastAsia"/>
        </w:rPr>
        <w:t>施肥宜结合灌溉进行，也可在降雨前或灌溉前人工撒施。</w:t>
      </w:r>
    </w:p>
    <w:p w14:paraId="6147ADF6">
      <w:pPr>
        <w:pStyle w:val="165"/>
        <w:rPr>
          <w:rFonts w:hint="eastAsia"/>
        </w:rPr>
      </w:pPr>
      <w:r>
        <w:rPr>
          <w:rFonts w:hint="eastAsia"/>
        </w:rPr>
        <w:t>灌溉应根据当地气候及坡面土壤墒情进行，保证植被正常生长。</w:t>
      </w:r>
    </w:p>
    <w:p w14:paraId="261234A9">
      <w:pPr>
        <w:pStyle w:val="165"/>
        <w:rPr>
          <w:rFonts w:hint="eastAsia"/>
        </w:rPr>
      </w:pPr>
      <w:r>
        <w:rPr>
          <w:rFonts w:hint="eastAsia"/>
        </w:rPr>
        <w:t>植物保护应结合植物生长和病虫害发生特点，优先采用生物和物理综合防治的措施。</w:t>
      </w:r>
    </w:p>
    <w:p w14:paraId="395C1C37">
      <w:pPr>
        <w:pStyle w:val="104"/>
        <w:spacing w:before="312" w:after="312"/>
        <w:rPr>
          <w:rFonts w:hint="eastAsia"/>
        </w:rPr>
      </w:pPr>
      <w:bookmarkStart w:id="66" w:name="_Toc230557428"/>
      <w:bookmarkStart w:id="67" w:name="_Toc10154"/>
      <w:r>
        <w:rPr>
          <w:rFonts w:hint="eastAsia"/>
        </w:rPr>
        <w:t>质量检验</w:t>
      </w:r>
      <w:bookmarkEnd w:id="66"/>
      <w:bookmarkEnd w:id="67"/>
    </w:p>
    <w:p w14:paraId="1CC4693D">
      <w:pPr>
        <w:pStyle w:val="105"/>
        <w:spacing w:before="156" w:after="156"/>
        <w:rPr>
          <w:rFonts w:hint="eastAsia"/>
        </w:rPr>
      </w:pPr>
      <w:r>
        <w:rPr>
          <w:rFonts w:hint="eastAsia"/>
        </w:rPr>
        <w:t>一般规定</w:t>
      </w:r>
    </w:p>
    <w:p w14:paraId="6AD1DF23">
      <w:pPr>
        <w:pStyle w:val="165"/>
        <w:rPr>
          <w:rFonts w:hint="eastAsia"/>
        </w:rPr>
      </w:pPr>
      <w:r>
        <w:rPr>
          <w:rFonts w:hint="eastAsia"/>
        </w:rPr>
        <w:t>各分项工程完工后应及时开展质量检验工作。</w:t>
      </w:r>
    </w:p>
    <w:p w14:paraId="1B254DE3">
      <w:pPr>
        <w:pStyle w:val="165"/>
        <w:rPr>
          <w:rFonts w:hint="eastAsia"/>
        </w:rPr>
      </w:pPr>
      <w:r>
        <w:rPr>
          <w:rFonts w:hint="eastAsia"/>
        </w:rPr>
        <w:t>质量检验应依据设计文件、本标准及所属行业相关检验标准执行，检验</w:t>
      </w:r>
      <w:r>
        <w:rPr>
          <w:rFonts w:hint="eastAsia"/>
          <w:lang w:val="en-US" w:eastAsia="zh-CN"/>
        </w:rPr>
        <w:t>内容应包括工程措施质量、微生物固化效果和植被恢复效果</w:t>
      </w:r>
      <w:r>
        <w:rPr>
          <w:rFonts w:hint="eastAsia"/>
        </w:rPr>
        <w:t>。</w:t>
      </w:r>
    </w:p>
    <w:p w14:paraId="02376CF1">
      <w:pPr>
        <w:pStyle w:val="165"/>
        <w:rPr>
          <w:rFonts w:hint="eastAsia"/>
        </w:rPr>
      </w:pPr>
      <w:r>
        <w:rPr>
          <w:rFonts w:hint="eastAsia"/>
        </w:rPr>
        <w:t>所有检验项目应形成完整的检验记录，作为工程竣工验收的依据。</w:t>
      </w:r>
    </w:p>
    <w:p w14:paraId="2A37B683">
      <w:pPr>
        <w:pStyle w:val="105"/>
        <w:spacing w:before="156" w:after="156"/>
        <w:rPr>
          <w:rFonts w:hint="eastAsia"/>
        </w:rPr>
      </w:pPr>
      <w:r>
        <w:rPr>
          <w:rFonts w:hint="eastAsia"/>
        </w:rPr>
        <w:t>工程措施质量检验</w:t>
      </w:r>
    </w:p>
    <w:p w14:paraId="1C46129A">
      <w:pPr>
        <w:pStyle w:val="165"/>
        <w:rPr>
          <w:rFonts w:hint="eastAsia"/>
        </w:rPr>
      </w:pPr>
      <w:r>
        <w:rPr>
          <w:rFonts w:hint="eastAsia"/>
        </w:rPr>
        <w:t>截排水工程质量检验应包括结构尺寸、坡度、平整度、排水通畅性及配套设施完整性等内容。</w:t>
      </w:r>
    </w:p>
    <w:p w14:paraId="062F2CC6">
      <w:pPr>
        <w:pStyle w:val="165"/>
        <w:rPr>
          <w:rFonts w:hint="eastAsia"/>
        </w:rPr>
      </w:pPr>
      <w:r>
        <w:rPr>
          <w:rFonts w:hint="eastAsia"/>
        </w:rPr>
        <w:t>截排水工程施工质量应符合GB 50433、GB 51018及设计文件的要求。</w:t>
      </w:r>
    </w:p>
    <w:p w14:paraId="2FB59850">
      <w:pPr>
        <w:pStyle w:val="165"/>
        <w:rPr>
          <w:rFonts w:hint="eastAsia"/>
        </w:rPr>
      </w:pPr>
      <w:r>
        <w:rPr>
          <w:rFonts w:hint="eastAsia"/>
        </w:rPr>
        <w:t>集蓄水设施应检验其蓄水容量、防渗性能及配套取水设施的完好性。</w:t>
      </w:r>
    </w:p>
    <w:p w14:paraId="375A2268">
      <w:pPr>
        <w:pStyle w:val="105"/>
        <w:spacing w:before="156" w:after="156"/>
        <w:rPr>
          <w:rFonts w:hint="eastAsia"/>
        </w:rPr>
      </w:pPr>
      <w:r>
        <w:rPr>
          <w:rFonts w:hint="eastAsia"/>
        </w:rPr>
        <w:t>微生物固化效果检验</w:t>
      </w:r>
    </w:p>
    <w:p w14:paraId="4D7CF574">
      <w:pPr>
        <w:pStyle w:val="165"/>
        <w:rPr>
          <w:rFonts w:hint="eastAsia"/>
        </w:rPr>
      </w:pPr>
      <w:r>
        <w:rPr>
          <w:rFonts w:hint="eastAsia"/>
        </w:rPr>
        <w:t>微生物固化效果检验应在专项养护周期结束后进行。</w:t>
      </w:r>
    </w:p>
    <w:p w14:paraId="1E57C8EA">
      <w:pPr>
        <w:pStyle w:val="165"/>
        <w:rPr>
          <w:rFonts w:hint="eastAsia"/>
        </w:rPr>
      </w:pPr>
      <w:r>
        <w:rPr>
          <w:rFonts w:hint="eastAsia"/>
        </w:rPr>
        <w:t>检验内容应包括土体物理力学性能和抗侵蚀性能两类指标：</w:t>
      </w:r>
    </w:p>
    <w:p w14:paraId="4144CEB8">
      <w:pPr>
        <w:pStyle w:val="174"/>
        <w:numPr>
          <w:ilvl w:val="0"/>
          <w:numId w:val="32"/>
        </w:numPr>
        <w:rPr>
          <w:rFonts w:hint="eastAsia"/>
        </w:rPr>
      </w:pPr>
      <w:r>
        <w:rPr>
          <w:rFonts w:hint="eastAsia"/>
        </w:rPr>
        <w:t>物理力学性能指标：固化厚度不小于5mm, 无侧限抗压强度不小于0.5MPa；</w:t>
      </w:r>
    </w:p>
    <w:p w14:paraId="7A027079">
      <w:pPr>
        <w:pStyle w:val="174"/>
        <w:rPr>
          <w:rFonts w:hint="eastAsia"/>
        </w:rPr>
      </w:pPr>
      <w:r>
        <w:rPr>
          <w:rFonts w:hint="eastAsia"/>
        </w:rPr>
        <w:t>抗侵蚀性能指标：10 min 崩解率&lt;10%，耐崩解指数&gt;0.9。</w:t>
      </w:r>
    </w:p>
    <w:p w14:paraId="2EAB4B48">
      <w:pPr>
        <w:pStyle w:val="105"/>
        <w:spacing w:before="156" w:after="156"/>
        <w:rPr>
          <w:rFonts w:hint="eastAsia"/>
        </w:rPr>
      </w:pPr>
      <w:r>
        <w:rPr>
          <w:rFonts w:hint="eastAsia"/>
        </w:rPr>
        <w:t>植被恢复效果检验</w:t>
      </w:r>
    </w:p>
    <w:p w14:paraId="56B71941">
      <w:pPr>
        <w:pStyle w:val="165"/>
        <w:rPr>
          <w:rFonts w:hint="eastAsia"/>
        </w:rPr>
      </w:pPr>
      <w:r>
        <w:rPr>
          <w:rFonts w:hint="eastAsia"/>
        </w:rPr>
        <w:t>植被恢复效果检验应在工程验收投运前进行，</w:t>
      </w:r>
      <w:r>
        <w:rPr>
          <w:rFonts w:hint="eastAsia"/>
          <w:lang w:val="en-US" w:eastAsia="zh-CN"/>
        </w:rPr>
        <w:t>时间</w:t>
      </w:r>
      <w:r>
        <w:rPr>
          <w:rFonts w:hint="eastAsia"/>
        </w:rPr>
        <w:t>选择在当地植物生长季。</w:t>
      </w:r>
    </w:p>
    <w:p w14:paraId="2AF78037">
      <w:pPr>
        <w:pStyle w:val="165"/>
        <w:rPr>
          <w:rFonts w:hint="eastAsia"/>
        </w:rPr>
      </w:pPr>
      <w:r>
        <w:rPr>
          <w:rFonts w:hint="eastAsia"/>
        </w:rPr>
        <w:t>检验指标应包括苗木成活率</w:t>
      </w:r>
      <w:r>
        <w:rPr>
          <w:rFonts w:hint="eastAsia"/>
          <w:lang w:val="en-US" w:eastAsia="zh-CN"/>
        </w:rPr>
        <w:t>和</w:t>
      </w:r>
      <w:r>
        <w:rPr>
          <w:rFonts w:hint="eastAsia"/>
        </w:rPr>
        <w:t>植被覆盖率</w:t>
      </w:r>
      <w:r>
        <w:rPr>
          <w:rFonts w:hint="eastAsia"/>
          <w:lang w:eastAsia="zh-CN"/>
        </w:rPr>
        <w:t>，</w:t>
      </w:r>
      <w:r>
        <w:rPr>
          <w:rFonts w:hint="eastAsia"/>
        </w:rPr>
        <w:t>不同防治分区的定量要求应符合</w:t>
      </w:r>
      <w:r>
        <w:rPr>
          <w:rFonts w:hint="eastAsia"/>
          <w:lang w:val="en-US" w:eastAsia="zh-CN"/>
        </w:rPr>
        <w:t>附录D</w:t>
      </w:r>
      <w:r>
        <w:rPr>
          <w:rFonts w:hint="eastAsia"/>
        </w:rPr>
        <w:t>的规定。</w:t>
      </w:r>
    </w:p>
    <w:p w14:paraId="5E9FBB8A">
      <w:pPr>
        <w:pStyle w:val="105"/>
        <w:spacing w:before="156" w:after="156"/>
        <w:rPr>
          <w:rFonts w:hint="eastAsia"/>
        </w:rPr>
      </w:pPr>
      <w:r>
        <w:rPr>
          <w:rFonts w:hint="eastAsia"/>
        </w:rPr>
        <w:t>竣工验收</w:t>
      </w:r>
    </w:p>
    <w:p w14:paraId="21D81DCB">
      <w:pPr>
        <w:pStyle w:val="165"/>
        <w:rPr>
          <w:rFonts w:hint="eastAsia"/>
        </w:rPr>
      </w:pPr>
      <w:r>
        <w:rPr>
          <w:rFonts w:hint="eastAsia"/>
        </w:rPr>
        <w:t>工程竣工验收应在所有分项工程质量检验合格后进行。</w:t>
      </w:r>
    </w:p>
    <w:p w14:paraId="0DC43642">
      <w:pPr>
        <w:pStyle w:val="165"/>
      </w:pPr>
      <w:r>
        <w:rPr>
          <w:rFonts w:hint="eastAsia"/>
        </w:rPr>
        <w:t>竣工验收应提交的资料包括设计文件、施工记录、各分项工程质量检验报告、养护记录及工程竣工图。</w:t>
      </w:r>
    </w:p>
    <w:p w14:paraId="020BADC3">
      <w:pPr>
        <w:pStyle w:val="56"/>
        <w:ind w:firstLine="420"/>
      </w:pPr>
    </w:p>
    <w:p w14:paraId="38529CF3">
      <w:pPr>
        <w:pStyle w:val="56"/>
        <w:ind w:firstLine="420"/>
      </w:pPr>
    </w:p>
    <w:p w14:paraId="536EEC58">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fmt="decimal" w:start="1"/>
          <w:cols w:space="425" w:num="1"/>
          <w:formProt w:val="0"/>
          <w:docGrid w:type="lines" w:linePitch="312" w:charSpace="0"/>
        </w:sectPr>
      </w:pPr>
    </w:p>
    <w:bookmarkEnd w:id="22"/>
    <w:p w14:paraId="7417F92D">
      <w:pPr>
        <w:pStyle w:val="198"/>
        <w:rPr>
          <w:vanish w:val="0"/>
        </w:rPr>
      </w:pPr>
      <w:bookmarkStart w:id="68" w:name="BookMark5"/>
    </w:p>
    <w:p w14:paraId="1A304B29">
      <w:pPr>
        <w:pStyle w:val="199"/>
        <w:numPr>
          <w:ilvl w:val="0"/>
          <w:numId w:val="0"/>
        </w:numPr>
        <w:ind w:left="0"/>
        <w:rPr>
          <w:vanish w:val="0"/>
        </w:rPr>
      </w:pPr>
      <w:r>
        <w:rPr>
          <w:rFonts w:hint="eastAsia" w:ascii="宋体" w:hAnsi="Times New Roman" w:eastAsia="黑体" w:cs="Times New Roman"/>
          <w:vanish w:val="0"/>
          <w:sz w:val="2"/>
          <w:lang w:val="en-US" w:eastAsia="zh-CN" w:bidi="ar-SA"/>
        </w:rPr>
        <w:t>A</w:t>
      </w:r>
    </w:p>
    <w:p w14:paraId="21B81919">
      <w:pPr>
        <w:pStyle w:val="76"/>
        <w:spacing w:after="120"/>
      </w:pPr>
      <w:bookmarkStart w:id="69" w:name="_Toc22497"/>
      <w:r>
        <w:br w:type="textWrapping"/>
      </w:r>
      <w:bookmarkStart w:id="70" w:name="_Toc230557429"/>
      <w:bookmarkStart w:id="71" w:name="_Toc150014782"/>
      <w:bookmarkStart w:id="72" w:name="_Toc150015682"/>
      <w:r>
        <w:rPr>
          <w:rFonts w:hint="eastAsia"/>
        </w:rPr>
        <w:t>（资料性）</w:t>
      </w:r>
      <w:r>
        <w:br w:type="textWrapping"/>
      </w:r>
      <w:r>
        <w:rPr>
          <w:rFonts w:hint="eastAsia"/>
        </w:rPr>
        <w:t>微生物固化技术参考表</w:t>
      </w:r>
      <w:bookmarkEnd w:id="69"/>
      <w:bookmarkEnd w:id="70"/>
      <w:bookmarkEnd w:id="71"/>
      <w:bookmarkEnd w:id="72"/>
    </w:p>
    <w:p w14:paraId="7B6BB31F">
      <w:pPr>
        <w:pStyle w:val="56"/>
        <w:ind w:firstLine="420"/>
        <w:rPr>
          <w:rFonts w:hint="eastAsia"/>
        </w:rPr>
      </w:pPr>
      <w:r>
        <w:rPr>
          <w:rFonts w:hint="eastAsia"/>
        </w:rPr>
        <w:t>微生物固化技术操作要点及要求参考表见表A.1。</w:t>
      </w:r>
    </w:p>
    <w:p w14:paraId="433D20D6">
      <w:pPr>
        <w:pStyle w:val="77"/>
        <w:numPr>
          <w:ilvl w:val="1"/>
          <w:numId w:val="0"/>
        </w:numPr>
        <w:spacing w:before="120" w:after="120"/>
      </w:pPr>
      <w:r>
        <w:rPr>
          <w:rFonts w:hint="eastAsia" w:ascii="黑体" w:hAnsi="Times New Roman" w:eastAsia="黑体" w:cs="Times New Roman"/>
          <w:kern w:val="21"/>
          <w:sz w:val="21"/>
          <w:lang w:val="en-US" w:eastAsia="zh-CN" w:bidi="ar-SA"/>
        </w:rPr>
        <w:t>表A.1</w:t>
      </w:r>
      <w:r>
        <w:rPr>
          <w:rFonts w:hint="eastAsia"/>
        </w:rPr>
        <w:t xml:space="preserve"> 微生物固化技术参考表</w:t>
      </w:r>
    </w:p>
    <w:tbl>
      <w:tblPr>
        <w:tblStyle w:val="2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57" w:type="dxa"/>
          <w:left w:w="85" w:type="dxa"/>
          <w:bottom w:w="57" w:type="dxa"/>
          <w:right w:w="85" w:type="dxa"/>
        </w:tblCellMar>
      </w:tblPr>
      <w:tblGrid>
        <w:gridCol w:w="1528"/>
        <w:gridCol w:w="2899"/>
        <w:gridCol w:w="5097"/>
      </w:tblGrid>
      <w:tr w14:paraId="3952F1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802" w:type="pct"/>
            <w:tcBorders>
              <w:bottom w:val="single" w:color="auto" w:sz="8" w:space="0"/>
            </w:tcBorders>
            <w:shd w:val="clear" w:color="auto" w:fill="auto"/>
            <w:vAlign w:val="center"/>
          </w:tcPr>
          <w:p w14:paraId="5D4905E1">
            <w:pPr>
              <w:pStyle w:val="178"/>
              <w:rPr>
                <w:rFonts w:hint="eastAsia" w:eastAsia="宋体"/>
                <w:lang w:eastAsia="zh-CN"/>
              </w:rPr>
            </w:pPr>
            <w:r>
              <w:rPr>
                <w:rFonts w:hint="eastAsia"/>
                <w:lang w:val="en-US" w:eastAsia="zh-CN" w:bidi="ar"/>
              </w:rPr>
              <w:t>项目</w:t>
            </w:r>
          </w:p>
        </w:tc>
        <w:tc>
          <w:tcPr>
            <w:tcW w:w="1522" w:type="pct"/>
            <w:tcBorders>
              <w:bottom w:val="single" w:color="auto" w:sz="8" w:space="0"/>
            </w:tcBorders>
            <w:shd w:val="clear" w:color="auto" w:fill="auto"/>
            <w:vAlign w:val="center"/>
          </w:tcPr>
          <w:p w14:paraId="203464FC">
            <w:pPr>
              <w:pStyle w:val="178"/>
              <w:rPr>
                <w:rFonts w:hint="eastAsia" w:eastAsia="宋体"/>
                <w:lang w:eastAsia="zh-CN"/>
              </w:rPr>
            </w:pPr>
            <w:r>
              <w:rPr>
                <w:lang w:bidi="ar"/>
              </w:rPr>
              <w:t>操作</w:t>
            </w:r>
            <w:r>
              <w:rPr>
                <w:rFonts w:hint="eastAsia"/>
                <w:lang w:val="en-US" w:eastAsia="zh-CN" w:bidi="ar"/>
              </w:rPr>
              <w:t>步骤</w:t>
            </w:r>
          </w:p>
        </w:tc>
        <w:tc>
          <w:tcPr>
            <w:tcW w:w="2676" w:type="pct"/>
            <w:tcBorders>
              <w:bottom w:val="single" w:color="auto" w:sz="8" w:space="0"/>
            </w:tcBorders>
            <w:shd w:val="clear" w:color="auto" w:fill="auto"/>
            <w:vAlign w:val="center"/>
          </w:tcPr>
          <w:p w14:paraId="719F1544">
            <w:pPr>
              <w:pStyle w:val="178"/>
            </w:pPr>
            <w:r>
              <w:rPr>
                <w:rFonts w:hint="eastAsia"/>
                <w:lang w:val="en-US" w:eastAsia="zh-CN" w:bidi="ar"/>
              </w:rPr>
              <w:t>技术</w:t>
            </w:r>
            <w:r>
              <w:rPr>
                <w:lang w:bidi="ar"/>
              </w:rPr>
              <w:t>要求</w:t>
            </w:r>
          </w:p>
        </w:tc>
      </w:tr>
      <w:tr w14:paraId="5317F2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802" w:type="pct"/>
            <w:tcBorders>
              <w:top w:val="single" w:color="auto" w:sz="8" w:space="0"/>
              <w:bottom w:val="single" w:color="auto" w:sz="4" w:space="0"/>
            </w:tcBorders>
            <w:shd w:val="clear" w:color="auto" w:fill="auto"/>
            <w:vAlign w:val="center"/>
          </w:tcPr>
          <w:p w14:paraId="50524638">
            <w:pPr>
              <w:pStyle w:val="178"/>
              <w:jc w:val="both"/>
              <w:rPr>
                <w:rFonts w:hint="default" w:eastAsia="宋体"/>
                <w:lang w:val="en-US" w:eastAsia="zh-CN"/>
              </w:rPr>
            </w:pPr>
            <w:r>
              <w:rPr>
                <w:rStyle w:val="29"/>
                <w:rFonts w:hint="eastAsia" w:ascii="Times New Roman"/>
                <w:b w:val="0"/>
                <w:bCs w:val="0"/>
                <w:szCs w:val="18"/>
                <w:lang w:val="en-US" w:eastAsia="zh-CN" w:bidi="ar"/>
              </w:rPr>
              <w:t>菌种选择</w:t>
            </w:r>
          </w:p>
        </w:tc>
        <w:tc>
          <w:tcPr>
            <w:tcW w:w="1522" w:type="pct"/>
            <w:tcBorders>
              <w:top w:val="single" w:color="auto" w:sz="8" w:space="0"/>
              <w:bottom w:val="single" w:color="auto" w:sz="4" w:space="0"/>
            </w:tcBorders>
            <w:shd w:val="clear" w:color="auto" w:fill="auto"/>
            <w:vAlign w:val="center"/>
          </w:tcPr>
          <w:p w14:paraId="5EB9E33A">
            <w:pPr>
              <w:pStyle w:val="178"/>
              <w:jc w:val="both"/>
              <w:rPr>
                <w:lang w:bidi="ar"/>
              </w:rPr>
            </w:pPr>
            <w:r>
              <w:rPr>
                <w:lang w:bidi="ar"/>
              </w:rPr>
              <w:t>1.</w:t>
            </w:r>
            <w:r>
              <w:rPr>
                <w:rFonts w:hint="eastAsia"/>
                <w:lang w:bidi="ar"/>
              </w:rPr>
              <w:t xml:space="preserve"> </w:t>
            </w:r>
            <w:r>
              <w:rPr>
                <w:lang w:bidi="ar"/>
              </w:rPr>
              <w:t>采用巴氏芽孢杆菌作为固化菌种</w:t>
            </w:r>
          </w:p>
          <w:p w14:paraId="7A5B1DDF">
            <w:pPr>
              <w:pStyle w:val="178"/>
              <w:jc w:val="both"/>
            </w:pPr>
            <w:r>
              <w:rPr>
                <w:lang w:bidi="ar"/>
              </w:rPr>
              <w:t>2.</w:t>
            </w:r>
            <w:r>
              <w:rPr>
                <w:rFonts w:hint="eastAsia"/>
                <w:lang w:bidi="ar"/>
              </w:rPr>
              <w:t xml:space="preserve"> </w:t>
            </w:r>
            <w:r>
              <w:rPr>
                <w:lang w:bidi="ar"/>
              </w:rPr>
              <w:t>准备所需材料与设备</w:t>
            </w:r>
          </w:p>
        </w:tc>
        <w:tc>
          <w:tcPr>
            <w:tcW w:w="2676" w:type="pct"/>
            <w:tcBorders>
              <w:top w:val="single" w:color="auto" w:sz="8" w:space="0"/>
              <w:bottom w:val="single" w:color="auto" w:sz="4" w:space="0"/>
            </w:tcBorders>
            <w:shd w:val="clear" w:color="auto" w:fill="auto"/>
            <w:vAlign w:val="center"/>
          </w:tcPr>
          <w:p w14:paraId="5EB8B5EE">
            <w:pPr>
              <w:pStyle w:val="178"/>
              <w:jc w:val="both"/>
              <w:rPr>
                <w:lang w:bidi="ar"/>
              </w:rPr>
            </w:pPr>
            <w:r>
              <w:rPr>
                <w:lang w:bidi="ar"/>
              </w:rPr>
              <w:t>1.</w:t>
            </w:r>
            <w:r>
              <w:rPr>
                <w:rFonts w:hint="eastAsia"/>
                <w:lang w:bidi="ar"/>
              </w:rPr>
              <w:t xml:space="preserve"> </w:t>
            </w:r>
            <w:r>
              <w:rPr>
                <w:lang w:bidi="ar"/>
              </w:rPr>
              <w:t>菌种特性：化能异养需氧型革兰氏阳性杆菌，细胞长2～3μm，适宜生长温度15 ℃～37 ℃</w:t>
            </w:r>
          </w:p>
          <w:p w14:paraId="260E9845">
            <w:pPr>
              <w:pStyle w:val="178"/>
              <w:jc w:val="both"/>
              <w:rPr>
                <w:lang w:bidi="ar"/>
              </w:rPr>
            </w:pPr>
            <w:r>
              <w:rPr>
                <w:lang w:bidi="ar"/>
              </w:rPr>
              <w:t>2.</w:t>
            </w:r>
            <w:r>
              <w:rPr>
                <w:rFonts w:hint="eastAsia"/>
                <w:lang w:bidi="ar"/>
              </w:rPr>
              <w:t xml:space="preserve"> </w:t>
            </w:r>
            <w:r>
              <w:rPr>
                <w:lang w:bidi="ar"/>
              </w:rPr>
              <w:t>主要材料：巴氏芽孢杆菌菌种、尿素、氯化钙、酪蛋白胨、大豆蛋白胨、氯化钠、琼脂、甘油、蒸馏水</w:t>
            </w:r>
          </w:p>
          <w:p w14:paraId="3AE2B967">
            <w:pPr>
              <w:pStyle w:val="178"/>
              <w:jc w:val="both"/>
            </w:pPr>
            <w:r>
              <w:rPr>
                <w:lang w:bidi="ar"/>
              </w:rPr>
              <w:t>3.</w:t>
            </w:r>
            <w:r>
              <w:rPr>
                <w:rFonts w:hint="eastAsia"/>
                <w:lang w:bidi="ar"/>
              </w:rPr>
              <w:t xml:space="preserve"> </w:t>
            </w:r>
            <w:r>
              <w:rPr>
                <w:lang w:bidi="ar"/>
              </w:rPr>
              <w:t>主要设备：移液枪、锥形瓶、高压蒸汽灭菌锅、恒温摇床、恒温培养箱、分光光度计、电导率仪、净化操作台</w:t>
            </w:r>
          </w:p>
        </w:tc>
      </w:tr>
      <w:tr w14:paraId="5A6575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802" w:type="pct"/>
            <w:tcBorders>
              <w:top w:val="single" w:color="auto" w:sz="4" w:space="0"/>
            </w:tcBorders>
            <w:shd w:val="clear" w:color="auto" w:fill="auto"/>
            <w:vAlign w:val="center"/>
          </w:tcPr>
          <w:p w14:paraId="70B1A9F4">
            <w:pPr>
              <w:pStyle w:val="178"/>
              <w:jc w:val="both"/>
            </w:pPr>
            <w:r>
              <w:rPr>
                <w:rStyle w:val="29"/>
                <w:rFonts w:ascii="Times New Roman"/>
                <w:b w:val="0"/>
                <w:bCs w:val="0"/>
                <w:szCs w:val="18"/>
                <w:lang w:bidi="ar"/>
              </w:rPr>
              <w:t>菌种活化</w:t>
            </w:r>
          </w:p>
        </w:tc>
        <w:tc>
          <w:tcPr>
            <w:tcW w:w="1522" w:type="pct"/>
            <w:tcBorders>
              <w:top w:val="single" w:color="auto" w:sz="4" w:space="0"/>
            </w:tcBorders>
            <w:shd w:val="clear" w:color="auto" w:fill="auto"/>
            <w:vAlign w:val="center"/>
          </w:tcPr>
          <w:p w14:paraId="6553CC40">
            <w:pPr>
              <w:pStyle w:val="178"/>
              <w:jc w:val="both"/>
              <w:rPr>
                <w:lang w:bidi="ar"/>
              </w:rPr>
            </w:pPr>
            <w:r>
              <w:rPr>
                <w:lang w:bidi="ar"/>
              </w:rPr>
              <w:t>1.</w:t>
            </w:r>
            <w:r>
              <w:rPr>
                <w:rFonts w:hint="eastAsia"/>
                <w:lang w:bidi="ar"/>
              </w:rPr>
              <w:t xml:space="preserve"> </w:t>
            </w:r>
            <w:r>
              <w:rPr>
                <w:lang w:bidi="ar"/>
              </w:rPr>
              <w:t>配制大豆胰蛋白胨琼脂培养基</w:t>
            </w:r>
          </w:p>
          <w:p w14:paraId="2C4592E9">
            <w:pPr>
              <w:pStyle w:val="178"/>
              <w:jc w:val="both"/>
              <w:rPr>
                <w:lang w:bidi="ar"/>
              </w:rPr>
            </w:pPr>
            <w:r>
              <w:rPr>
                <w:lang w:bidi="ar"/>
              </w:rPr>
              <w:t>2.</w:t>
            </w:r>
            <w:r>
              <w:rPr>
                <w:rFonts w:hint="eastAsia"/>
                <w:lang w:bidi="ar"/>
              </w:rPr>
              <w:t xml:space="preserve"> </w:t>
            </w:r>
            <w:r>
              <w:rPr>
                <w:lang w:bidi="ar"/>
              </w:rPr>
              <w:t>培养基灭菌与操作台消毒</w:t>
            </w:r>
          </w:p>
          <w:p w14:paraId="60499BCC">
            <w:pPr>
              <w:pStyle w:val="178"/>
              <w:jc w:val="both"/>
              <w:rPr>
                <w:lang w:bidi="ar"/>
              </w:rPr>
            </w:pPr>
            <w:r>
              <w:rPr>
                <w:lang w:bidi="ar"/>
              </w:rPr>
              <w:t>3.</w:t>
            </w:r>
            <w:r>
              <w:rPr>
                <w:rFonts w:hint="eastAsia"/>
                <w:lang w:bidi="ar"/>
              </w:rPr>
              <w:t xml:space="preserve"> </w:t>
            </w:r>
            <w:r>
              <w:rPr>
                <w:lang w:bidi="ar"/>
              </w:rPr>
              <w:t>安瓿瓶菌种开封与接种</w:t>
            </w:r>
          </w:p>
          <w:p w14:paraId="3910104C">
            <w:pPr>
              <w:pStyle w:val="178"/>
              <w:jc w:val="both"/>
              <w:rPr>
                <w:lang w:bidi="ar"/>
              </w:rPr>
            </w:pPr>
            <w:r>
              <w:rPr>
                <w:lang w:bidi="ar"/>
              </w:rPr>
              <w:t>4.</w:t>
            </w:r>
            <w:r>
              <w:rPr>
                <w:rFonts w:hint="eastAsia"/>
                <w:lang w:bidi="ar"/>
              </w:rPr>
              <w:t xml:space="preserve"> </w:t>
            </w:r>
            <w:r>
              <w:rPr>
                <w:lang w:bidi="ar"/>
              </w:rPr>
              <w:t>恒温培养</w:t>
            </w:r>
          </w:p>
          <w:p w14:paraId="4660B7F8">
            <w:pPr>
              <w:pStyle w:val="178"/>
              <w:jc w:val="both"/>
            </w:pPr>
            <w:r>
              <w:rPr>
                <w:lang w:bidi="ar"/>
              </w:rPr>
              <w:t>5.</w:t>
            </w:r>
            <w:r>
              <w:rPr>
                <w:rFonts w:hint="eastAsia"/>
                <w:lang w:bidi="ar"/>
              </w:rPr>
              <w:t xml:space="preserve"> </w:t>
            </w:r>
            <w:r>
              <w:rPr>
                <w:lang w:bidi="ar"/>
              </w:rPr>
              <w:t>菌种保存</w:t>
            </w:r>
          </w:p>
        </w:tc>
        <w:tc>
          <w:tcPr>
            <w:tcW w:w="2676" w:type="pct"/>
            <w:tcBorders>
              <w:top w:val="single" w:color="auto" w:sz="4" w:space="0"/>
            </w:tcBorders>
            <w:shd w:val="clear" w:color="auto" w:fill="auto"/>
            <w:vAlign w:val="center"/>
          </w:tcPr>
          <w:p w14:paraId="6C1F0C2F">
            <w:pPr>
              <w:pStyle w:val="178"/>
              <w:jc w:val="both"/>
              <w:rPr>
                <w:lang w:bidi="ar"/>
              </w:rPr>
            </w:pPr>
            <w:r>
              <w:rPr>
                <w:lang w:bidi="ar"/>
              </w:rPr>
              <w:t>1.</w:t>
            </w:r>
            <w:r>
              <w:rPr>
                <w:rFonts w:hint="eastAsia"/>
                <w:lang w:bidi="ar"/>
              </w:rPr>
              <w:t xml:space="preserve"> </w:t>
            </w:r>
            <w:r>
              <w:rPr>
                <w:lang w:bidi="ar"/>
              </w:rPr>
              <w:t>培养基配方（每升）：尿素20 g、酪蛋白胨15 g、大豆蛋白胨5 g、氯化钠5 g、琼脂20 g（仅固体培养基）</w:t>
            </w:r>
          </w:p>
          <w:p w14:paraId="5E1D80AD">
            <w:pPr>
              <w:pStyle w:val="178"/>
              <w:jc w:val="both"/>
              <w:rPr>
                <w:lang w:bidi="ar"/>
              </w:rPr>
            </w:pPr>
            <w:r>
              <w:rPr>
                <w:lang w:bidi="ar"/>
              </w:rPr>
              <w:t>2.</w:t>
            </w:r>
            <w:r>
              <w:rPr>
                <w:rFonts w:hint="eastAsia"/>
                <w:lang w:bidi="ar"/>
              </w:rPr>
              <w:t xml:space="preserve"> </w:t>
            </w:r>
            <w:r>
              <w:rPr>
                <w:lang w:bidi="ar"/>
              </w:rPr>
              <w:t>灭菌条件：121 ℃，20 min；操作台提前20 min紫外+75%酒精消毒</w:t>
            </w:r>
          </w:p>
          <w:p w14:paraId="3F2CFF0F">
            <w:pPr>
              <w:pStyle w:val="178"/>
              <w:jc w:val="both"/>
              <w:rPr>
                <w:lang w:bidi="ar"/>
              </w:rPr>
            </w:pPr>
            <w:r>
              <w:rPr>
                <w:lang w:bidi="ar"/>
              </w:rPr>
              <w:t>3.</w:t>
            </w:r>
            <w:r>
              <w:rPr>
                <w:rFonts w:hint="eastAsia"/>
                <w:lang w:bidi="ar"/>
              </w:rPr>
              <w:t xml:space="preserve"> </w:t>
            </w:r>
            <w:r>
              <w:rPr>
                <w:lang w:bidi="ar"/>
              </w:rPr>
              <w:t>接种量：液体培养基2 mL/200 mL</w:t>
            </w:r>
          </w:p>
          <w:p w14:paraId="1714C8D8">
            <w:pPr>
              <w:pStyle w:val="178"/>
              <w:jc w:val="both"/>
              <w:rPr>
                <w:lang w:bidi="ar"/>
              </w:rPr>
            </w:pPr>
            <w:r>
              <w:rPr>
                <w:lang w:bidi="ar"/>
              </w:rPr>
              <w:t>4.</w:t>
            </w:r>
            <w:r>
              <w:rPr>
                <w:rFonts w:hint="eastAsia"/>
                <w:lang w:bidi="ar"/>
              </w:rPr>
              <w:t xml:space="preserve"> </w:t>
            </w:r>
            <w:r>
              <w:rPr>
                <w:lang w:bidi="ar"/>
              </w:rPr>
              <w:t>培养条件：液体30 ℃、200 rpm震荡48 h；固体30 ℃静置48 h</w:t>
            </w:r>
          </w:p>
          <w:p w14:paraId="44FA313E">
            <w:pPr>
              <w:pStyle w:val="178"/>
              <w:jc w:val="both"/>
              <w:rPr>
                <w:lang w:bidi="ar"/>
              </w:rPr>
            </w:pPr>
            <w:r>
              <w:rPr>
                <w:lang w:bidi="ar"/>
              </w:rPr>
              <w:t>5.</w:t>
            </w:r>
            <w:r>
              <w:rPr>
                <w:rFonts w:hint="eastAsia"/>
                <w:lang w:bidi="ar"/>
              </w:rPr>
              <w:t xml:space="preserve"> </w:t>
            </w:r>
            <w:r>
              <w:rPr>
                <w:lang w:bidi="ar"/>
              </w:rPr>
              <w:t>活化成功判定：液体浑浊有氨味，固体出现白色菌落</w:t>
            </w:r>
          </w:p>
          <w:p w14:paraId="4F8C71DB">
            <w:pPr>
              <w:pStyle w:val="178"/>
              <w:jc w:val="both"/>
            </w:pPr>
            <w:r>
              <w:rPr>
                <w:lang w:bidi="ar"/>
              </w:rPr>
              <w:t>6.</w:t>
            </w:r>
            <w:r>
              <w:rPr>
                <w:rFonts w:hint="eastAsia"/>
                <w:lang w:bidi="ar"/>
              </w:rPr>
              <w:t xml:space="preserve"> </w:t>
            </w:r>
            <w:r>
              <w:rPr>
                <w:lang w:bidi="ar"/>
              </w:rPr>
              <w:t>保存：短期4 ℃冷藏；长期50%甘油1：1混合后-80 ℃冷冻</w:t>
            </w:r>
          </w:p>
        </w:tc>
      </w:tr>
      <w:tr w14:paraId="021342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802" w:type="pct"/>
            <w:shd w:val="clear" w:color="auto" w:fill="auto"/>
            <w:vAlign w:val="center"/>
          </w:tcPr>
          <w:p w14:paraId="5ECBC99E">
            <w:pPr>
              <w:pStyle w:val="178"/>
              <w:jc w:val="both"/>
            </w:pPr>
            <w:r>
              <w:rPr>
                <w:rStyle w:val="29"/>
                <w:rFonts w:ascii="Times New Roman"/>
                <w:b w:val="0"/>
                <w:bCs w:val="0"/>
                <w:szCs w:val="18"/>
                <w:lang w:bidi="ar"/>
              </w:rPr>
              <w:t>菌液制备</w:t>
            </w:r>
          </w:p>
        </w:tc>
        <w:tc>
          <w:tcPr>
            <w:tcW w:w="1522" w:type="pct"/>
            <w:shd w:val="clear" w:color="auto" w:fill="auto"/>
            <w:vAlign w:val="center"/>
          </w:tcPr>
          <w:p w14:paraId="4554D26F">
            <w:pPr>
              <w:pStyle w:val="178"/>
              <w:jc w:val="both"/>
              <w:rPr>
                <w:lang w:bidi="ar"/>
              </w:rPr>
            </w:pPr>
            <w:r>
              <w:rPr>
                <w:lang w:bidi="ar"/>
              </w:rPr>
              <w:t>1.</w:t>
            </w:r>
            <w:r>
              <w:rPr>
                <w:rFonts w:hint="eastAsia"/>
                <w:lang w:bidi="ar"/>
              </w:rPr>
              <w:t xml:space="preserve"> </w:t>
            </w:r>
            <w:r>
              <w:rPr>
                <w:lang w:bidi="ar"/>
              </w:rPr>
              <w:t>配制液体培养基并灭菌</w:t>
            </w:r>
          </w:p>
          <w:p w14:paraId="32B1B480">
            <w:pPr>
              <w:pStyle w:val="178"/>
              <w:jc w:val="both"/>
              <w:rPr>
                <w:lang w:bidi="ar"/>
              </w:rPr>
            </w:pPr>
            <w:r>
              <w:rPr>
                <w:lang w:bidi="ar"/>
              </w:rPr>
              <w:t>2.</w:t>
            </w:r>
            <w:r>
              <w:rPr>
                <w:rFonts w:hint="eastAsia"/>
                <w:lang w:bidi="ar"/>
              </w:rPr>
              <w:t xml:space="preserve"> </w:t>
            </w:r>
            <w:r>
              <w:rPr>
                <w:lang w:bidi="ar"/>
              </w:rPr>
              <w:t>接种活化菌液</w:t>
            </w:r>
          </w:p>
          <w:p w14:paraId="07B8C478">
            <w:pPr>
              <w:pStyle w:val="178"/>
              <w:jc w:val="both"/>
              <w:rPr>
                <w:lang w:bidi="ar"/>
              </w:rPr>
            </w:pPr>
            <w:r>
              <w:rPr>
                <w:lang w:bidi="ar"/>
              </w:rPr>
              <w:t>3.</w:t>
            </w:r>
            <w:r>
              <w:rPr>
                <w:rFonts w:hint="eastAsia"/>
                <w:lang w:bidi="ar"/>
              </w:rPr>
              <w:t xml:space="preserve"> </w:t>
            </w:r>
            <w:r>
              <w:rPr>
                <w:lang w:bidi="ar"/>
              </w:rPr>
              <w:t>恒温震荡培养</w:t>
            </w:r>
          </w:p>
          <w:p w14:paraId="7216A158">
            <w:pPr>
              <w:pStyle w:val="178"/>
              <w:jc w:val="both"/>
            </w:pPr>
            <w:r>
              <w:rPr>
                <w:lang w:bidi="ar"/>
              </w:rPr>
              <w:t>4.</w:t>
            </w:r>
            <w:r>
              <w:rPr>
                <w:rFonts w:hint="eastAsia"/>
                <w:lang w:bidi="ar"/>
              </w:rPr>
              <w:t xml:space="preserve"> </w:t>
            </w:r>
            <w:r>
              <w:rPr>
                <w:lang w:bidi="ar"/>
              </w:rPr>
              <w:t>菌液保存</w:t>
            </w:r>
          </w:p>
        </w:tc>
        <w:tc>
          <w:tcPr>
            <w:tcW w:w="2676" w:type="pct"/>
            <w:shd w:val="clear" w:color="auto" w:fill="auto"/>
            <w:vAlign w:val="center"/>
          </w:tcPr>
          <w:p w14:paraId="4C08E34C">
            <w:pPr>
              <w:pStyle w:val="178"/>
              <w:jc w:val="both"/>
              <w:rPr>
                <w:lang w:bidi="ar"/>
              </w:rPr>
            </w:pPr>
            <w:r>
              <w:rPr>
                <w:lang w:bidi="ar"/>
              </w:rPr>
              <w:t>1.</w:t>
            </w:r>
            <w:r>
              <w:rPr>
                <w:rFonts w:hint="eastAsia"/>
                <w:lang w:bidi="ar"/>
              </w:rPr>
              <w:t xml:space="preserve"> </w:t>
            </w:r>
            <w:r>
              <w:rPr>
                <w:lang w:bidi="ar"/>
              </w:rPr>
              <w:t>培养基配方同活化阶段，分装至250 mL三角瓶</w:t>
            </w:r>
          </w:p>
          <w:p w14:paraId="113CE866">
            <w:pPr>
              <w:pStyle w:val="178"/>
              <w:jc w:val="both"/>
              <w:rPr>
                <w:lang w:bidi="ar"/>
              </w:rPr>
            </w:pPr>
            <w:r>
              <w:rPr>
                <w:lang w:bidi="ar"/>
              </w:rPr>
              <w:t>2.</w:t>
            </w:r>
            <w:r>
              <w:rPr>
                <w:rFonts w:hint="eastAsia"/>
                <w:lang w:bidi="ar"/>
              </w:rPr>
              <w:t xml:space="preserve"> </w:t>
            </w:r>
            <w:r>
              <w:rPr>
                <w:lang w:bidi="ar"/>
              </w:rPr>
              <w:t>灭菌条件：121 ℃，20 min</w:t>
            </w:r>
          </w:p>
          <w:p w14:paraId="513C2EBA">
            <w:pPr>
              <w:pStyle w:val="178"/>
              <w:jc w:val="both"/>
              <w:rPr>
                <w:lang w:bidi="ar"/>
              </w:rPr>
            </w:pPr>
            <w:r>
              <w:rPr>
                <w:lang w:bidi="ar"/>
              </w:rPr>
              <w:t>3.</w:t>
            </w:r>
            <w:r>
              <w:rPr>
                <w:rFonts w:hint="eastAsia"/>
                <w:lang w:bidi="ar"/>
              </w:rPr>
              <w:t xml:space="preserve"> </w:t>
            </w:r>
            <w:r>
              <w:rPr>
                <w:lang w:bidi="ar"/>
              </w:rPr>
              <w:t>接种量：2 mL/200 mL</w:t>
            </w:r>
          </w:p>
          <w:p w14:paraId="634F8F95">
            <w:pPr>
              <w:pStyle w:val="178"/>
              <w:jc w:val="both"/>
              <w:rPr>
                <w:lang w:bidi="ar"/>
              </w:rPr>
            </w:pPr>
            <w:r>
              <w:rPr>
                <w:lang w:bidi="ar"/>
              </w:rPr>
              <w:t>4.</w:t>
            </w:r>
            <w:r>
              <w:rPr>
                <w:rFonts w:hint="eastAsia"/>
                <w:lang w:bidi="ar"/>
              </w:rPr>
              <w:t xml:space="preserve"> </w:t>
            </w:r>
            <w:r>
              <w:rPr>
                <w:lang w:bidi="ar"/>
              </w:rPr>
              <w:t>培养条件：30 ℃、200 rpm 震荡24 h～48 h</w:t>
            </w:r>
          </w:p>
          <w:p w14:paraId="5A088918">
            <w:pPr>
              <w:pStyle w:val="178"/>
              <w:jc w:val="both"/>
              <w:rPr>
                <w:lang w:bidi="ar"/>
              </w:rPr>
            </w:pPr>
            <w:r>
              <w:rPr>
                <w:lang w:bidi="ar"/>
              </w:rPr>
              <w:t>5.</w:t>
            </w:r>
            <w:r>
              <w:rPr>
                <w:rFonts w:hint="eastAsia"/>
                <w:lang w:bidi="ar"/>
              </w:rPr>
              <w:t xml:space="preserve"> </w:t>
            </w:r>
            <w:r>
              <w:rPr>
                <w:lang w:bidi="ar"/>
              </w:rPr>
              <w:t>培养成功判定：培养基呈黄/浅黄色，有刺鼻氨味</w:t>
            </w:r>
          </w:p>
          <w:p w14:paraId="6480C381">
            <w:pPr>
              <w:pStyle w:val="178"/>
              <w:jc w:val="both"/>
            </w:pPr>
            <w:r>
              <w:rPr>
                <w:lang w:bidi="ar"/>
              </w:rPr>
              <w:t>6.</w:t>
            </w:r>
            <w:r>
              <w:rPr>
                <w:rFonts w:hint="eastAsia"/>
                <w:lang w:bidi="ar"/>
              </w:rPr>
              <w:t xml:space="preserve"> </w:t>
            </w:r>
            <w:r>
              <w:rPr>
                <w:lang w:bidi="ar"/>
              </w:rPr>
              <w:t>保存：4 ℃冷藏，不宜超过7 d</w:t>
            </w:r>
          </w:p>
        </w:tc>
      </w:tr>
      <w:tr w14:paraId="2E0E23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802" w:type="pct"/>
            <w:shd w:val="clear" w:color="auto" w:fill="auto"/>
            <w:vAlign w:val="center"/>
          </w:tcPr>
          <w:p w14:paraId="587A1FB8">
            <w:pPr>
              <w:pStyle w:val="178"/>
              <w:jc w:val="both"/>
            </w:pPr>
            <w:r>
              <w:rPr>
                <w:rStyle w:val="29"/>
                <w:rFonts w:ascii="Times New Roman"/>
                <w:b w:val="0"/>
                <w:bCs w:val="0"/>
                <w:szCs w:val="18"/>
                <w:lang w:bidi="ar"/>
              </w:rPr>
              <w:t>菌种生长监测</w:t>
            </w:r>
          </w:p>
        </w:tc>
        <w:tc>
          <w:tcPr>
            <w:tcW w:w="1522" w:type="pct"/>
            <w:shd w:val="clear" w:color="auto" w:fill="auto"/>
            <w:vAlign w:val="center"/>
          </w:tcPr>
          <w:p w14:paraId="63358EE9">
            <w:pPr>
              <w:pStyle w:val="178"/>
              <w:jc w:val="both"/>
              <w:rPr>
                <w:lang w:bidi="ar"/>
              </w:rPr>
            </w:pPr>
            <w:r>
              <w:rPr>
                <w:lang w:bidi="ar"/>
              </w:rPr>
              <w:t>1.</w:t>
            </w:r>
            <w:r>
              <w:rPr>
                <w:rFonts w:hint="eastAsia"/>
                <w:lang w:bidi="ar"/>
              </w:rPr>
              <w:t xml:space="preserve"> </w:t>
            </w:r>
            <w:r>
              <w:rPr>
                <w:lang w:bidi="ar"/>
              </w:rPr>
              <w:t>定期取样检测</w:t>
            </w:r>
          </w:p>
          <w:p w14:paraId="27F88B23">
            <w:pPr>
              <w:pStyle w:val="178"/>
              <w:jc w:val="both"/>
            </w:pPr>
            <w:r>
              <w:rPr>
                <w:lang w:bidi="ar"/>
              </w:rPr>
              <w:t>2.</w:t>
            </w:r>
            <w:r>
              <w:rPr>
                <w:rFonts w:hint="eastAsia"/>
                <w:lang w:bidi="ar"/>
              </w:rPr>
              <w:t xml:space="preserve"> </w:t>
            </w:r>
            <w:r>
              <w:rPr>
                <w:lang w:bidi="ar"/>
              </w:rPr>
              <w:t>评估菌液活性</w:t>
            </w:r>
          </w:p>
        </w:tc>
        <w:tc>
          <w:tcPr>
            <w:tcW w:w="2676" w:type="pct"/>
            <w:shd w:val="clear" w:color="auto" w:fill="auto"/>
            <w:vAlign w:val="center"/>
          </w:tcPr>
          <w:p w14:paraId="18248995">
            <w:pPr>
              <w:pStyle w:val="178"/>
              <w:jc w:val="both"/>
              <w:rPr>
                <w:lang w:bidi="ar"/>
              </w:rPr>
            </w:pPr>
            <w:r>
              <w:rPr>
                <w:lang w:bidi="ar"/>
              </w:rPr>
              <w:t>1.</w:t>
            </w:r>
            <w:r>
              <w:rPr>
                <w:rFonts w:hint="eastAsia"/>
                <w:lang w:bidi="ar"/>
              </w:rPr>
              <w:t xml:space="preserve"> </w:t>
            </w:r>
            <w:r>
              <w:rPr>
                <w:lang w:bidi="ar"/>
              </w:rPr>
              <w:t>监测指标：OD₆₀₀吸光度、pH值、电导率</w:t>
            </w:r>
          </w:p>
          <w:p w14:paraId="5E38146E">
            <w:pPr>
              <w:pStyle w:val="178"/>
              <w:jc w:val="both"/>
              <w:rPr>
                <w:lang w:bidi="ar"/>
              </w:rPr>
            </w:pPr>
            <w:r>
              <w:rPr>
                <w:lang w:bidi="ar"/>
              </w:rPr>
              <w:t>2.</w:t>
            </w:r>
            <w:r>
              <w:rPr>
                <w:rFonts w:hint="eastAsia"/>
                <w:lang w:bidi="ar"/>
              </w:rPr>
              <w:t xml:space="preserve"> </w:t>
            </w:r>
            <w:r>
              <w:rPr>
                <w:lang w:bidi="ar"/>
              </w:rPr>
              <w:t>检测方法：分光光度计测OD₆₀₀，电导率仪测电导率</w:t>
            </w:r>
          </w:p>
          <w:p w14:paraId="48560159">
            <w:pPr>
              <w:pStyle w:val="178"/>
              <w:jc w:val="both"/>
            </w:pPr>
            <w:r>
              <w:rPr>
                <w:lang w:bidi="ar"/>
              </w:rPr>
              <w:t>3.</w:t>
            </w:r>
            <w:r>
              <w:rPr>
                <w:rFonts w:hint="eastAsia"/>
                <w:lang w:bidi="ar"/>
              </w:rPr>
              <w:t xml:space="preserve"> </w:t>
            </w:r>
            <w:r>
              <w:rPr>
                <w:lang w:bidi="ar"/>
              </w:rPr>
              <w:t>指标达标后方可用于现场施工</w:t>
            </w:r>
          </w:p>
        </w:tc>
      </w:tr>
      <w:tr w14:paraId="4F6E5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802" w:type="pct"/>
            <w:shd w:val="clear" w:color="auto" w:fill="auto"/>
            <w:vAlign w:val="center"/>
          </w:tcPr>
          <w:p w14:paraId="2733C37C">
            <w:pPr>
              <w:pStyle w:val="178"/>
              <w:jc w:val="both"/>
            </w:pPr>
            <w:r>
              <w:rPr>
                <w:rStyle w:val="29"/>
                <w:rFonts w:ascii="Times New Roman"/>
                <w:b w:val="0"/>
                <w:bCs w:val="0"/>
                <w:szCs w:val="18"/>
                <w:lang w:bidi="ar"/>
              </w:rPr>
              <w:t>现场固化处理</w:t>
            </w:r>
          </w:p>
        </w:tc>
        <w:tc>
          <w:tcPr>
            <w:tcW w:w="1522" w:type="pct"/>
            <w:shd w:val="clear" w:color="auto" w:fill="auto"/>
            <w:vAlign w:val="center"/>
          </w:tcPr>
          <w:p w14:paraId="29002355">
            <w:pPr>
              <w:pStyle w:val="178"/>
              <w:jc w:val="both"/>
              <w:rPr>
                <w:lang w:bidi="ar"/>
              </w:rPr>
            </w:pPr>
            <w:r>
              <w:rPr>
                <w:lang w:bidi="ar"/>
              </w:rPr>
              <w:t>1.</w:t>
            </w:r>
            <w:r>
              <w:rPr>
                <w:rFonts w:hint="eastAsia"/>
                <w:lang w:bidi="ar"/>
              </w:rPr>
              <w:t xml:space="preserve"> </w:t>
            </w:r>
            <w:r>
              <w:rPr>
                <w:lang w:bidi="ar"/>
              </w:rPr>
              <w:t>采用雾化喷洒法施工</w:t>
            </w:r>
          </w:p>
          <w:p w14:paraId="197F4D7E">
            <w:pPr>
              <w:pStyle w:val="178"/>
              <w:jc w:val="both"/>
              <w:rPr>
                <w:lang w:bidi="ar"/>
              </w:rPr>
            </w:pPr>
            <w:r>
              <w:rPr>
                <w:lang w:bidi="ar"/>
              </w:rPr>
              <w:t>2.</w:t>
            </w:r>
            <w:r>
              <w:rPr>
                <w:rFonts w:hint="eastAsia"/>
                <w:lang w:bidi="ar"/>
              </w:rPr>
              <w:t xml:space="preserve"> </w:t>
            </w:r>
            <w:r>
              <w:rPr>
                <w:lang w:bidi="ar"/>
              </w:rPr>
              <w:t>先喷菌液，间隔后喷胶结液</w:t>
            </w:r>
          </w:p>
          <w:p w14:paraId="5D298599">
            <w:pPr>
              <w:pStyle w:val="178"/>
              <w:jc w:val="both"/>
              <w:rPr>
                <w:lang w:bidi="ar"/>
              </w:rPr>
            </w:pPr>
            <w:r>
              <w:rPr>
                <w:lang w:bidi="ar"/>
              </w:rPr>
              <w:t>3.</w:t>
            </w:r>
            <w:r>
              <w:rPr>
                <w:rFonts w:hint="eastAsia"/>
                <w:lang w:bidi="ar"/>
              </w:rPr>
              <w:t xml:space="preserve"> </w:t>
            </w:r>
            <w:r>
              <w:rPr>
                <w:lang w:bidi="ar"/>
              </w:rPr>
              <w:t>控制喷洒次数与间隔</w:t>
            </w:r>
          </w:p>
          <w:p w14:paraId="7ACC6AC7">
            <w:pPr>
              <w:pStyle w:val="178"/>
              <w:jc w:val="both"/>
            </w:pPr>
            <w:r>
              <w:rPr>
                <w:lang w:bidi="ar"/>
              </w:rPr>
              <w:t>4.</w:t>
            </w:r>
            <w:r>
              <w:rPr>
                <w:rFonts w:hint="eastAsia"/>
                <w:lang w:bidi="ar"/>
              </w:rPr>
              <w:t xml:space="preserve"> </w:t>
            </w:r>
            <w:r>
              <w:rPr>
                <w:lang w:bidi="ar"/>
              </w:rPr>
              <w:t>喷洒后覆盖养护</w:t>
            </w:r>
          </w:p>
        </w:tc>
        <w:tc>
          <w:tcPr>
            <w:tcW w:w="2676" w:type="pct"/>
            <w:shd w:val="clear" w:color="auto" w:fill="auto"/>
            <w:vAlign w:val="center"/>
          </w:tcPr>
          <w:p w14:paraId="5D854628">
            <w:pPr>
              <w:pStyle w:val="178"/>
              <w:jc w:val="both"/>
              <w:rPr>
                <w:lang w:bidi="ar"/>
              </w:rPr>
            </w:pPr>
            <w:r>
              <w:rPr>
                <w:lang w:bidi="ar"/>
              </w:rPr>
              <w:t>1.</w:t>
            </w:r>
            <w:r>
              <w:rPr>
                <w:rFonts w:hint="eastAsia"/>
                <w:lang w:bidi="ar"/>
              </w:rPr>
              <w:t xml:space="preserve"> </w:t>
            </w:r>
            <w:r>
              <w:rPr>
                <w:lang w:bidi="ar"/>
              </w:rPr>
              <w:t>喷洒压力：中小档，液体呈雾状</w:t>
            </w:r>
          </w:p>
          <w:p w14:paraId="4AD54B40">
            <w:pPr>
              <w:pStyle w:val="178"/>
              <w:jc w:val="both"/>
              <w:rPr>
                <w:lang w:bidi="ar"/>
              </w:rPr>
            </w:pPr>
            <w:r>
              <w:rPr>
                <w:lang w:bidi="ar"/>
              </w:rPr>
              <w:t>2.</w:t>
            </w:r>
            <w:r>
              <w:rPr>
                <w:rFonts w:hint="eastAsia"/>
                <w:lang w:bidi="ar"/>
              </w:rPr>
              <w:t xml:space="preserve"> </w:t>
            </w:r>
            <w:r>
              <w:rPr>
                <w:lang w:bidi="ar"/>
              </w:rPr>
              <w:t>喷洒顺序：菌液→静置2 h～3 h→胶结液（尿素-氯化钙1：1体积比）</w:t>
            </w:r>
          </w:p>
          <w:p w14:paraId="3252C2D7">
            <w:pPr>
              <w:pStyle w:val="178"/>
              <w:jc w:val="both"/>
              <w:rPr>
                <w:lang w:bidi="ar"/>
              </w:rPr>
            </w:pPr>
            <w:r>
              <w:rPr>
                <w:lang w:bidi="ar"/>
              </w:rPr>
              <w:t>3.</w:t>
            </w:r>
            <w:r>
              <w:rPr>
                <w:rFonts w:hint="eastAsia"/>
                <w:lang w:bidi="ar"/>
              </w:rPr>
              <w:t xml:space="preserve"> </w:t>
            </w:r>
            <w:r>
              <w:rPr>
                <w:lang w:bidi="ar"/>
              </w:rPr>
              <w:t>喷洒方式：少量多次，避免产生坡面径流</w:t>
            </w:r>
          </w:p>
          <w:p w14:paraId="53DDBF2D">
            <w:pPr>
              <w:pStyle w:val="178"/>
              <w:jc w:val="both"/>
              <w:rPr>
                <w:lang w:bidi="ar"/>
              </w:rPr>
            </w:pPr>
            <w:r>
              <w:rPr>
                <w:lang w:bidi="ar"/>
              </w:rPr>
              <w:t>4.</w:t>
            </w:r>
            <w:r>
              <w:rPr>
                <w:rFonts w:hint="eastAsia"/>
                <w:lang w:bidi="ar"/>
              </w:rPr>
              <w:t xml:space="preserve"> </w:t>
            </w:r>
            <w:r>
              <w:rPr>
                <w:lang w:bidi="ar"/>
              </w:rPr>
              <w:t>处理间隔：不大于3次时24 h/次；大于3次时36 h/次</w:t>
            </w:r>
          </w:p>
          <w:p w14:paraId="2B535FBC">
            <w:pPr>
              <w:pStyle w:val="178"/>
              <w:jc w:val="both"/>
              <w:rPr>
                <w:lang w:bidi="ar"/>
              </w:rPr>
            </w:pPr>
            <w:r>
              <w:rPr>
                <w:lang w:bidi="ar"/>
              </w:rPr>
              <w:t>5.</w:t>
            </w:r>
            <w:r>
              <w:rPr>
                <w:rFonts w:hint="eastAsia"/>
                <w:lang w:bidi="ar"/>
              </w:rPr>
              <w:t xml:space="preserve"> </w:t>
            </w:r>
            <w:r>
              <w:rPr>
                <w:lang w:bidi="ar"/>
              </w:rPr>
              <w:t>黄土边坡推荐次数：3～7次</w:t>
            </w:r>
          </w:p>
          <w:p w14:paraId="78BAD7E6">
            <w:pPr>
              <w:pStyle w:val="178"/>
              <w:jc w:val="both"/>
            </w:pPr>
            <w:r>
              <w:rPr>
                <w:lang w:bidi="ar"/>
              </w:rPr>
              <w:t>6.</w:t>
            </w:r>
            <w:r>
              <w:rPr>
                <w:rFonts w:hint="eastAsia"/>
                <w:lang w:bidi="ar"/>
              </w:rPr>
              <w:t xml:space="preserve"> </w:t>
            </w:r>
            <w:r>
              <w:rPr>
                <w:lang w:bidi="ar"/>
              </w:rPr>
              <w:t>养护：每次喷洒后覆盖塑料薄膜遮光保湿</w:t>
            </w:r>
          </w:p>
        </w:tc>
      </w:tr>
      <w:tr w14:paraId="392660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802" w:type="pct"/>
            <w:shd w:val="clear" w:color="auto" w:fill="auto"/>
            <w:vAlign w:val="center"/>
          </w:tcPr>
          <w:p w14:paraId="57BB4BDC">
            <w:pPr>
              <w:pStyle w:val="178"/>
              <w:jc w:val="both"/>
            </w:pPr>
            <w:r>
              <w:rPr>
                <w:rStyle w:val="29"/>
                <w:rFonts w:ascii="Times New Roman"/>
                <w:b w:val="0"/>
                <w:bCs w:val="0"/>
                <w:szCs w:val="18"/>
                <w:lang w:bidi="ar"/>
              </w:rPr>
              <w:t>常见问题及处理</w:t>
            </w:r>
          </w:p>
        </w:tc>
        <w:tc>
          <w:tcPr>
            <w:tcW w:w="1522" w:type="pct"/>
            <w:shd w:val="clear" w:color="auto" w:fill="auto"/>
            <w:vAlign w:val="center"/>
          </w:tcPr>
          <w:p w14:paraId="733FA152">
            <w:pPr>
              <w:pStyle w:val="178"/>
              <w:jc w:val="both"/>
              <w:rPr>
                <w:lang w:bidi="ar"/>
              </w:rPr>
            </w:pPr>
            <w:r>
              <w:rPr>
                <w:lang w:bidi="ar"/>
              </w:rPr>
              <w:t>1.</w:t>
            </w:r>
            <w:r>
              <w:rPr>
                <w:rFonts w:hint="eastAsia"/>
                <w:lang w:bidi="ar"/>
              </w:rPr>
              <w:t xml:space="preserve"> </w:t>
            </w:r>
            <w:r>
              <w:rPr>
                <w:lang w:bidi="ar"/>
              </w:rPr>
              <w:t>菌液活性不足</w:t>
            </w:r>
          </w:p>
          <w:p w14:paraId="13122CED">
            <w:pPr>
              <w:pStyle w:val="178"/>
              <w:jc w:val="both"/>
              <w:rPr>
                <w:lang w:bidi="ar"/>
              </w:rPr>
            </w:pPr>
            <w:r>
              <w:rPr>
                <w:lang w:bidi="ar"/>
              </w:rPr>
              <w:t>2.</w:t>
            </w:r>
            <w:r>
              <w:rPr>
                <w:rFonts w:hint="eastAsia"/>
                <w:lang w:bidi="ar"/>
              </w:rPr>
              <w:t xml:space="preserve"> </w:t>
            </w:r>
            <w:r>
              <w:rPr>
                <w:lang w:bidi="ar"/>
              </w:rPr>
              <w:t>固化效果不均匀</w:t>
            </w:r>
          </w:p>
          <w:p w14:paraId="40B3EAB0">
            <w:pPr>
              <w:pStyle w:val="178"/>
              <w:jc w:val="both"/>
              <w:rPr>
                <w:lang w:bidi="ar"/>
              </w:rPr>
            </w:pPr>
            <w:r>
              <w:rPr>
                <w:lang w:bidi="ar"/>
              </w:rPr>
              <w:t>3.</w:t>
            </w:r>
            <w:r>
              <w:rPr>
                <w:rFonts w:hint="eastAsia"/>
                <w:lang w:bidi="ar"/>
              </w:rPr>
              <w:t xml:space="preserve"> </w:t>
            </w:r>
            <w:r>
              <w:rPr>
                <w:lang w:bidi="ar"/>
              </w:rPr>
              <w:t>固化强度不达标</w:t>
            </w:r>
          </w:p>
          <w:p w14:paraId="7B3225CA">
            <w:pPr>
              <w:pStyle w:val="178"/>
              <w:jc w:val="both"/>
            </w:pPr>
            <w:r>
              <w:rPr>
                <w:lang w:bidi="ar"/>
              </w:rPr>
              <w:t>4.</w:t>
            </w:r>
            <w:r>
              <w:rPr>
                <w:rFonts w:hint="eastAsia"/>
                <w:lang w:bidi="ar"/>
              </w:rPr>
              <w:t xml:space="preserve"> </w:t>
            </w:r>
            <w:r>
              <w:rPr>
                <w:lang w:bidi="ar"/>
              </w:rPr>
              <w:t>施工遇降雨</w:t>
            </w:r>
          </w:p>
        </w:tc>
        <w:tc>
          <w:tcPr>
            <w:tcW w:w="2676" w:type="pct"/>
            <w:shd w:val="clear" w:color="auto" w:fill="auto"/>
            <w:vAlign w:val="center"/>
          </w:tcPr>
          <w:p w14:paraId="42570E87">
            <w:pPr>
              <w:pStyle w:val="178"/>
              <w:jc w:val="both"/>
              <w:rPr>
                <w:lang w:bidi="ar"/>
              </w:rPr>
            </w:pPr>
            <w:r>
              <w:rPr>
                <w:lang w:bidi="ar"/>
              </w:rPr>
              <w:t>1.</w:t>
            </w:r>
            <w:r>
              <w:rPr>
                <w:rFonts w:hint="eastAsia"/>
                <w:lang w:bidi="ar"/>
              </w:rPr>
              <w:t xml:space="preserve"> </w:t>
            </w:r>
            <w:r>
              <w:rPr>
                <w:lang w:bidi="ar"/>
              </w:rPr>
              <w:t>重新活化菌种，调整培养温度，严格无菌操作，延长培养时间</w:t>
            </w:r>
          </w:p>
          <w:p w14:paraId="4DB42EA7">
            <w:pPr>
              <w:pStyle w:val="178"/>
              <w:jc w:val="both"/>
              <w:rPr>
                <w:lang w:bidi="ar"/>
              </w:rPr>
            </w:pPr>
            <w:r>
              <w:rPr>
                <w:lang w:bidi="ar"/>
              </w:rPr>
              <w:t>2.</w:t>
            </w:r>
            <w:r>
              <w:rPr>
                <w:rFonts w:hint="eastAsia"/>
                <w:lang w:bidi="ar"/>
              </w:rPr>
              <w:t xml:space="preserve"> </w:t>
            </w:r>
            <w:r>
              <w:rPr>
                <w:lang w:bidi="ar"/>
              </w:rPr>
              <w:t>控制喷洒速度，分区定量喷洒，施工前充分平整坡面</w:t>
            </w:r>
          </w:p>
          <w:p w14:paraId="50B1FF8F">
            <w:pPr>
              <w:pStyle w:val="178"/>
              <w:jc w:val="both"/>
              <w:rPr>
                <w:lang w:bidi="ar"/>
              </w:rPr>
            </w:pPr>
            <w:r>
              <w:rPr>
                <w:lang w:bidi="ar"/>
              </w:rPr>
              <w:t>3.</w:t>
            </w:r>
            <w:r>
              <w:rPr>
                <w:rFonts w:hint="eastAsia"/>
                <w:lang w:bidi="ar"/>
              </w:rPr>
              <w:t xml:space="preserve"> </w:t>
            </w:r>
            <w:r>
              <w:rPr>
                <w:lang w:bidi="ar"/>
              </w:rPr>
              <w:t>提高菌液浓度，优化胶结液配比，增加固化次数，加强养护</w:t>
            </w:r>
          </w:p>
          <w:p w14:paraId="6D8CBA42">
            <w:pPr>
              <w:pStyle w:val="178"/>
              <w:jc w:val="both"/>
            </w:pPr>
            <w:r>
              <w:rPr>
                <w:lang w:bidi="ar"/>
              </w:rPr>
              <w:t>4.</w:t>
            </w:r>
            <w:r>
              <w:rPr>
                <w:rFonts w:hint="eastAsia"/>
                <w:lang w:bidi="ar"/>
              </w:rPr>
              <w:t xml:space="preserve"> </w:t>
            </w:r>
            <w:r>
              <w:rPr>
                <w:lang w:bidi="ar"/>
              </w:rPr>
              <w:t>降雨前及时覆盖，天晴后补喷1～2次菌液和胶结液</w:t>
            </w:r>
          </w:p>
        </w:tc>
      </w:tr>
    </w:tbl>
    <w:p w14:paraId="171AEB15">
      <w:pPr>
        <w:pStyle w:val="56"/>
        <w:ind w:firstLine="420"/>
      </w:pPr>
    </w:p>
    <w:p w14:paraId="4AD6379B">
      <w:pPr>
        <w:pStyle w:val="56"/>
        <w:ind w:firstLine="420"/>
        <w:rPr>
          <w:rFonts w:hint="eastAsia"/>
        </w:rPr>
      </w:pPr>
    </w:p>
    <w:p w14:paraId="3BD5CE49">
      <w:pPr>
        <w:pStyle w:val="56"/>
        <w:ind w:firstLine="420"/>
      </w:pPr>
    </w:p>
    <w:p w14:paraId="5ACA6868">
      <w:pPr>
        <w:pStyle w:val="56"/>
        <w:ind w:firstLine="420"/>
        <w:sectPr>
          <w:headerReference r:id="rId21" w:type="default"/>
          <w:footerReference r:id="rId23" w:type="default"/>
          <w:headerReference r:id="rId22" w:type="even"/>
          <w:footerReference r:id="rId24" w:type="even"/>
          <w:pgSz w:w="11906" w:h="16838"/>
          <w:pgMar w:top="1928" w:right="1134" w:bottom="1134" w:left="1134" w:header="1418" w:footer="1134" w:gutter="284"/>
          <w:pgNumType w:fmt="decimal"/>
          <w:cols w:space="425" w:num="1"/>
          <w:formProt w:val="0"/>
          <w:docGrid w:linePitch="312" w:charSpace="0"/>
        </w:sectPr>
      </w:pPr>
    </w:p>
    <w:p w14:paraId="36D18057">
      <w:pPr>
        <w:pStyle w:val="198"/>
        <w:rPr>
          <w:vanish w:val="0"/>
        </w:rPr>
      </w:pPr>
    </w:p>
    <w:p w14:paraId="1249BB7D">
      <w:pPr>
        <w:pStyle w:val="199"/>
        <w:numPr>
          <w:ilvl w:val="0"/>
          <w:numId w:val="0"/>
        </w:numPr>
        <w:ind w:left="0"/>
        <w:rPr>
          <w:vanish w:val="0"/>
        </w:rPr>
      </w:pPr>
      <w:r>
        <w:rPr>
          <w:rFonts w:hint="eastAsia" w:ascii="宋体" w:hAnsi="Times New Roman" w:eastAsia="黑体" w:cs="Times New Roman"/>
          <w:vanish w:val="0"/>
          <w:sz w:val="2"/>
          <w:lang w:val="en-US" w:eastAsia="zh-CN" w:bidi="ar-SA"/>
        </w:rPr>
        <w:t>B</w:t>
      </w:r>
    </w:p>
    <w:p w14:paraId="5A676E3F">
      <w:pPr>
        <w:pStyle w:val="76"/>
        <w:spacing w:after="120"/>
      </w:pPr>
      <w:bookmarkStart w:id="73" w:name="_Toc18198"/>
      <w:r>
        <w:br w:type="textWrapping"/>
      </w:r>
      <w:bookmarkStart w:id="74" w:name="_Toc230557430"/>
      <w:bookmarkStart w:id="75" w:name="_Toc150014785"/>
      <w:bookmarkStart w:id="76" w:name="_Toc150015685"/>
      <w:r>
        <w:rPr>
          <w:rFonts w:hint="eastAsia"/>
        </w:rPr>
        <w:t>（资料性）</w:t>
      </w:r>
      <w:r>
        <w:br w:type="textWrapping"/>
      </w:r>
      <w:r>
        <w:rPr>
          <w:rFonts w:hint="eastAsia"/>
        </w:rPr>
        <w:t>坡面植被恢复技术植物选择参考表</w:t>
      </w:r>
      <w:bookmarkEnd w:id="73"/>
      <w:bookmarkEnd w:id="74"/>
      <w:bookmarkEnd w:id="75"/>
      <w:bookmarkEnd w:id="76"/>
    </w:p>
    <w:p w14:paraId="4B15A5A5">
      <w:pPr>
        <w:pStyle w:val="56"/>
        <w:ind w:firstLine="420"/>
        <w:rPr>
          <w:rFonts w:hint="eastAsia"/>
        </w:rPr>
      </w:pPr>
      <w:r>
        <w:rPr>
          <w:rFonts w:hint="eastAsia"/>
        </w:rPr>
        <w:t>坡面植被恢复技术植物种的选择参考表见表B.1。</w:t>
      </w:r>
    </w:p>
    <w:p w14:paraId="671A4EC8">
      <w:pPr>
        <w:pStyle w:val="77"/>
        <w:numPr>
          <w:ilvl w:val="1"/>
          <w:numId w:val="0"/>
        </w:numPr>
        <w:spacing w:before="120" w:after="120"/>
      </w:pPr>
      <w:r>
        <w:rPr>
          <w:rFonts w:hint="eastAsia" w:ascii="黑体" w:hAnsi="Times New Roman" w:eastAsia="黑体" w:cs="Times New Roman"/>
          <w:kern w:val="21"/>
          <w:sz w:val="21"/>
          <w:lang w:val="en-US" w:eastAsia="zh-CN" w:bidi="ar-SA"/>
        </w:rPr>
        <w:t>表B.1</w:t>
      </w:r>
      <w:r>
        <w:rPr>
          <w:rFonts w:hint="eastAsia"/>
        </w:rPr>
        <w:t xml:space="preserve"> 坡面植被恢复技术植物选择参考表</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57" w:type="dxa"/>
          <w:left w:w="85" w:type="dxa"/>
          <w:bottom w:w="57" w:type="dxa"/>
          <w:right w:w="85" w:type="dxa"/>
        </w:tblCellMar>
      </w:tblPr>
      <w:tblGrid>
        <w:gridCol w:w="1146"/>
        <w:gridCol w:w="3907"/>
        <w:gridCol w:w="4471"/>
      </w:tblGrid>
      <w:tr w14:paraId="75D43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602" w:type="pct"/>
            <w:tcBorders>
              <w:bottom w:val="single" w:color="auto" w:sz="8" w:space="0"/>
            </w:tcBorders>
            <w:shd w:val="clear" w:color="auto" w:fill="auto"/>
            <w:vAlign w:val="center"/>
          </w:tcPr>
          <w:p w14:paraId="086707E2">
            <w:pPr>
              <w:pStyle w:val="178"/>
              <w:rPr>
                <w:rFonts w:hint="eastAsia"/>
              </w:rPr>
            </w:pPr>
            <w:r>
              <w:rPr>
                <w:rFonts w:hint="eastAsia"/>
              </w:rPr>
              <w:t>防治分区</w:t>
            </w:r>
          </w:p>
        </w:tc>
        <w:tc>
          <w:tcPr>
            <w:tcW w:w="2051" w:type="pct"/>
            <w:tcBorders>
              <w:bottom w:val="single" w:color="auto" w:sz="8" w:space="0"/>
            </w:tcBorders>
            <w:shd w:val="clear" w:color="auto" w:fill="auto"/>
            <w:vAlign w:val="center"/>
          </w:tcPr>
          <w:p w14:paraId="477686CA">
            <w:pPr>
              <w:pStyle w:val="178"/>
              <w:rPr>
                <w:rFonts w:hint="eastAsia"/>
              </w:rPr>
            </w:pPr>
            <w:r>
              <w:rPr>
                <w:rFonts w:hint="eastAsia"/>
              </w:rPr>
              <w:t>灌木植物</w:t>
            </w:r>
          </w:p>
        </w:tc>
        <w:tc>
          <w:tcPr>
            <w:tcW w:w="2347" w:type="pct"/>
            <w:tcBorders>
              <w:bottom w:val="single" w:color="auto" w:sz="8" w:space="0"/>
            </w:tcBorders>
            <w:shd w:val="clear" w:color="auto" w:fill="auto"/>
            <w:vAlign w:val="center"/>
          </w:tcPr>
          <w:p w14:paraId="11B4A40E">
            <w:pPr>
              <w:pStyle w:val="178"/>
              <w:rPr>
                <w:rFonts w:hint="eastAsia"/>
              </w:rPr>
            </w:pPr>
            <w:r>
              <w:rPr>
                <w:rFonts w:hint="eastAsia"/>
              </w:rPr>
              <w:t>草本植物</w:t>
            </w:r>
          </w:p>
        </w:tc>
      </w:tr>
      <w:tr w14:paraId="2184CB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602" w:type="pct"/>
            <w:tcBorders>
              <w:top w:val="single" w:color="auto" w:sz="8" w:space="0"/>
              <w:bottom w:val="single" w:color="auto" w:sz="4" w:space="0"/>
            </w:tcBorders>
            <w:shd w:val="clear" w:color="auto" w:fill="auto"/>
            <w:vAlign w:val="center"/>
          </w:tcPr>
          <w:p w14:paraId="61DA7CEC">
            <w:pPr>
              <w:pStyle w:val="178"/>
              <w:jc w:val="both"/>
              <w:rPr>
                <w:rFonts w:hint="eastAsia"/>
              </w:rPr>
            </w:pPr>
            <w:r>
              <w:rPr>
                <w:rFonts w:hint="eastAsia"/>
              </w:rPr>
              <w:t>东北黑土区</w:t>
            </w:r>
          </w:p>
        </w:tc>
        <w:tc>
          <w:tcPr>
            <w:tcW w:w="2051" w:type="pct"/>
            <w:tcBorders>
              <w:top w:val="single" w:color="auto" w:sz="8" w:space="0"/>
              <w:bottom w:val="single" w:color="auto" w:sz="4" w:space="0"/>
            </w:tcBorders>
            <w:shd w:val="clear" w:color="auto" w:fill="auto"/>
            <w:vAlign w:val="center"/>
          </w:tcPr>
          <w:p w14:paraId="144220D3">
            <w:pPr>
              <w:pStyle w:val="178"/>
              <w:jc w:val="both"/>
              <w:rPr>
                <w:rFonts w:hint="eastAsia"/>
              </w:rPr>
            </w:pPr>
            <w:r>
              <w:rPr>
                <w:rFonts w:hint="eastAsia"/>
              </w:rPr>
              <w:t>紫穗槐、胡枝子、沙棘、山杏、丁香、刺玫、珍珠梅、榛、毛榛、红瑞木、茶条槭</w:t>
            </w:r>
          </w:p>
        </w:tc>
        <w:tc>
          <w:tcPr>
            <w:tcW w:w="2347" w:type="pct"/>
            <w:tcBorders>
              <w:top w:val="single" w:color="auto" w:sz="8" w:space="0"/>
              <w:bottom w:val="single" w:color="auto" w:sz="4" w:space="0"/>
            </w:tcBorders>
            <w:shd w:val="clear" w:color="auto" w:fill="auto"/>
            <w:vAlign w:val="center"/>
          </w:tcPr>
          <w:p w14:paraId="064C70D7">
            <w:pPr>
              <w:pStyle w:val="178"/>
              <w:jc w:val="both"/>
              <w:rPr>
                <w:rFonts w:hint="eastAsia"/>
              </w:rPr>
            </w:pPr>
            <w:r>
              <w:rPr>
                <w:rFonts w:hint="eastAsia"/>
              </w:rPr>
              <w:t>紫羊茅、草地早熟禾、无芒雀麦、披碱草、冰草、赖草、猫尾草、白三叶、紫花苜蓿、草木犀、沙打旺</w:t>
            </w:r>
          </w:p>
        </w:tc>
      </w:tr>
      <w:tr w14:paraId="62B3A9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602" w:type="pct"/>
            <w:tcBorders>
              <w:top w:val="single" w:color="auto" w:sz="4" w:space="0"/>
            </w:tcBorders>
            <w:shd w:val="clear" w:color="auto" w:fill="auto"/>
            <w:vAlign w:val="center"/>
          </w:tcPr>
          <w:p w14:paraId="5B0E7C5C">
            <w:pPr>
              <w:pStyle w:val="178"/>
              <w:jc w:val="both"/>
              <w:rPr>
                <w:rFonts w:hint="eastAsia"/>
              </w:rPr>
            </w:pPr>
            <w:r>
              <w:rPr>
                <w:rFonts w:hint="eastAsia"/>
              </w:rPr>
              <w:t>北方风沙区</w:t>
            </w:r>
          </w:p>
        </w:tc>
        <w:tc>
          <w:tcPr>
            <w:tcW w:w="2051" w:type="pct"/>
            <w:tcBorders>
              <w:top w:val="single" w:color="auto" w:sz="4" w:space="0"/>
            </w:tcBorders>
            <w:shd w:val="clear" w:color="auto" w:fill="auto"/>
            <w:vAlign w:val="center"/>
          </w:tcPr>
          <w:p w14:paraId="691A7D9F">
            <w:pPr>
              <w:pStyle w:val="178"/>
              <w:jc w:val="both"/>
              <w:rPr>
                <w:rFonts w:hint="eastAsia"/>
              </w:rPr>
            </w:pPr>
            <w:r>
              <w:rPr>
                <w:rFonts w:hint="eastAsia"/>
              </w:rPr>
              <w:t>梭梭、白梭梭、沙拐枣、柠条锦鸡儿、沙柳、花棒、杨柴、驼绒藜、白刺、柽柳、沙棘</w:t>
            </w:r>
          </w:p>
        </w:tc>
        <w:tc>
          <w:tcPr>
            <w:tcW w:w="2347" w:type="pct"/>
            <w:tcBorders>
              <w:top w:val="single" w:color="auto" w:sz="4" w:space="0"/>
            </w:tcBorders>
            <w:shd w:val="clear" w:color="auto" w:fill="auto"/>
            <w:vAlign w:val="center"/>
          </w:tcPr>
          <w:p w14:paraId="764157B6">
            <w:pPr>
              <w:pStyle w:val="178"/>
              <w:jc w:val="both"/>
              <w:rPr>
                <w:rFonts w:hint="eastAsia"/>
              </w:rPr>
            </w:pPr>
            <w:r>
              <w:rPr>
                <w:rFonts w:hint="eastAsia"/>
              </w:rPr>
              <w:t>冰草、披碱草、沙生冰草、沙打旺、紫花苜蓿、草木犀、老芒麦、碱茅、芦苇、赖草</w:t>
            </w:r>
          </w:p>
        </w:tc>
      </w:tr>
      <w:tr w14:paraId="1D3F3D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602" w:type="pct"/>
            <w:shd w:val="clear" w:color="auto" w:fill="auto"/>
            <w:vAlign w:val="center"/>
          </w:tcPr>
          <w:p w14:paraId="09B668FB">
            <w:pPr>
              <w:pStyle w:val="178"/>
              <w:jc w:val="both"/>
              <w:rPr>
                <w:rFonts w:hint="eastAsia"/>
              </w:rPr>
            </w:pPr>
            <w:r>
              <w:rPr>
                <w:rFonts w:hint="eastAsia"/>
              </w:rPr>
              <w:t>北方土石山区</w:t>
            </w:r>
          </w:p>
        </w:tc>
        <w:tc>
          <w:tcPr>
            <w:tcW w:w="2051" w:type="pct"/>
            <w:shd w:val="clear" w:color="auto" w:fill="auto"/>
            <w:vAlign w:val="center"/>
          </w:tcPr>
          <w:p w14:paraId="2757AFCC">
            <w:pPr>
              <w:pStyle w:val="178"/>
              <w:jc w:val="both"/>
              <w:rPr>
                <w:rFonts w:hint="eastAsia"/>
              </w:rPr>
            </w:pPr>
            <w:r>
              <w:rPr>
                <w:rFonts w:hint="eastAsia"/>
              </w:rPr>
              <w:t>紫穗槐、胡枝子、荆条、酸枣、黄栌、连翘、绣线菊、枸杞、山杏、沙棘、柠条</w:t>
            </w:r>
          </w:p>
        </w:tc>
        <w:tc>
          <w:tcPr>
            <w:tcW w:w="2347" w:type="pct"/>
            <w:shd w:val="clear" w:color="auto" w:fill="auto"/>
            <w:vAlign w:val="center"/>
          </w:tcPr>
          <w:p w14:paraId="2214C837">
            <w:pPr>
              <w:pStyle w:val="178"/>
              <w:jc w:val="both"/>
              <w:rPr>
                <w:rFonts w:hint="eastAsia"/>
              </w:rPr>
            </w:pPr>
            <w:r>
              <w:rPr>
                <w:rFonts w:hint="eastAsia"/>
              </w:rPr>
              <w:t>高羊茅、无芒雀麦、披碱草、冰草、紫花苜蓿、白三叶、多年生黑麦草、小冠花、草木犀</w:t>
            </w:r>
          </w:p>
        </w:tc>
      </w:tr>
      <w:tr w14:paraId="0383AB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602" w:type="pct"/>
            <w:shd w:val="clear" w:color="auto" w:fill="auto"/>
            <w:vAlign w:val="center"/>
          </w:tcPr>
          <w:p w14:paraId="3358F927">
            <w:pPr>
              <w:pStyle w:val="178"/>
              <w:jc w:val="both"/>
              <w:rPr>
                <w:rFonts w:hint="eastAsia"/>
              </w:rPr>
            </w:pPr>
            <w:r>
              <w:rPr>
                <w:rFonts w:hint="eastAsia"/>
              </w:rPr>
              <w:t>西北黄土高原区</w:t>
            </w:r>
          </w:p>
        </w:tc>
        <w:tc>
          <w:tcPr>
            <w:tcW w:w="2051" w:type="pct"/>
            <w:shd w:val="clear" w:color="auto" w:fill="auto"/>
            <w:vAlign w:val="center"/>
          </w:tcPr>
          <w:p w14:paraId="43A9FDD2">
            <w:pPr>
              <w:pStyle w:val="178"/>
              <w:jc w:val="both"/>
              <w:rPr>
                <w:rFonts w:hint="eastAsia"/>
              </w:rPr>
            </w:pPr>
            <w:r>
              <w:rPr>
                <w:rFonts w:hint="eastAsia"/>
              </w:rPr>
              <w:t>柠条锦鸡儿、沙棘、紫穗槐、山杏、胡枝子、沙柳、枸杞、白刺、杠柳、文冠果</w:t>
            </w:r>
          </w:p>
        </w:tc>
        <w:tc>
          <w:tcPr>
            <w:tcW w:w="2347" w:type="pct"/>
            <w:shd w:val="clear" w:color="auto" w:fill="auto"/>
            <w:vAlign w:val="center"/>
          </w:tcPr>
          <w:p w14:paraId="5C35721A">
            <w:pPr>
              <w:pStyle w:val="178"/>
              <w:jc w:val="both"/>
              <w:rPr>
                <w:rFonts w:hint="eastAsia"/>
              </w:rPr>
            </w:pPr>
            <w:r>
              <w:rPr>
                <w:rFonts w:hint="eastAsia"/>
              </w:rPr>
              <w:t>披碱草、冰草、无芒雀麦、紫花苜蓿、沙打旺、草木犀、高羊茅、赖草、白三叶</w:t>
            </w:r>
          </w:p>
        </w:tc>
      </w:tr>
      <w:tr w14:paraId="7C099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602" w:type="pct"/>
            <w:shd w:val="clear" w:color="auto" w:fill="auto"/>
            <w:vAlign w:val="center"/>
          </w:tcPr>
          <w:p w14:paraId="5BACC87E">
            <w:pPr>
              <w:pStyle w:val="178"/>
              <w:jc w:val="both"/>
              <w:rPr>
                <w:rFonts w:hint="eastAsia"/>
              </w:rPr>
            </w:pPr>
            <w:r>
              <w:rPr>
                <w:rFonts w:hint="eastAsia"/>
              </w:rPr>
              <w:t>南方红壤区</w:t>
            </w:r>
          </w:p>
        </w:tc>
        <w:tc>
          <w:tcPr>
            <w:tcW w:w="2051" w:type="pct"/>
            <w:shd w:val="clear" w:color="auto" w:fill="auto"/>
            <w:vAlign w:val="center"/>
          </w:tcPr>
          <w:p w14:paraId="577BBC6C">
            <w:pPr>
              <w:pStyle w:val="178"/>
              <w:jc w:val="both"/>
              <w:rPr>
                <w:rFonts w:hint="eastAsia"/>
              </w:rPr>
            </w:pPr>
            <w:r>
              <w:rPr>
                <w:rFonts w:hint="eastAsia"/>
              </w:rPr>
              <w:t>胡枝子、多花木蓝、木豆、紫穗槐、马棘、车桑子、杜鹃、夹竹桃、火棘、小叶女贞、决明</w:t>
            </w:r>
          </w:p>
        </w:tc>
        <w:tc>
          <w:tcPr>
            <w:tcW w:w="2347" w:type="pct"/>
            <w:shd w:val="clear" w:color="auto" w:fill="auto"/>
            <w:vAlign w:val="center"/>
          </w:tcPr>
          <w:p w14:paraId="698A918C">
            <w:pPr>
              <w:pStyle w:val="178"/>
              <w:jc w:val="both"/>
              <w:rPr>
                <w:rFonts w:hint="eastAsia"/>
              </w:rPr>
            </w:pPr>
            <w:r>
              <w:rPr>
                <w:rFonts w:hint="eastAsia"/>
              </w:rPr>
              <w:t>百喜草、狗牙根、香根草、宽叶雀稗、糖蜜草、柱花草、白三叶、紫花苜蓿、多年生黑麦草、高羊茅</w:t>
            </w:r>
          </w:p>
        </w:tc>
      </w:tr>
      <w:tr w14:paraId="3AFCDF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602" w:type="pct"/>
            <w:shd w:val="clear" w:color="auto" w:fill="auto"/>
            <w:vAlign w:val="center"/>
          </w:tcPr>
          <w:p w14:paraId="3C8F562D">
            <w:pPr>
              <w:pStyle w:val="178"/>
              <w:jc w:val="both"/>
              <w:rPr>
                <w:rFonts w:hint="eastAsia"/>
              </w:rPr>
            </w:pPr>
            <w:r>
              <w:rPr>
                <w:rFonts w:hint="eastAsia"/>
              </w:rPr>
              <w:t>西南紫色土区</w:t>
            </w:r>
          </w:p>
        </w:tc>
        <w:tc>
          <w:tcPr>
            <w:tcW w:w="2051" w:type="pct"/>
            <w:shd w:val="clear" w:color="auto" w:fill="auto"/>
            <w:vAlign w:val="center"/>
          </w:tcPr>
          <w:p w14:paraId="06384E0F">
            <w:pPr>
              <w:pStyle w:val="178"/>
              <w:jc w:val="both"/>
              <w:rPr>
                <w:rFonts w:hint="eastAsia"/>
              </w:rPr>
            </w:pPr>
            <w:r>
              <w:rPr>
                <w:rFonts w:hint="eastAsia"/>
              </w:rPr>
              <w:t>马棘、多花木蓝、紫穗槐、胡枝子、黄荆、火棘、杜鹃、盐肤木、女贞、夹竹桃</w:t>
            </w:r>
          </w:p>
        </w:tc>
        <w:tc>
          <w:tcPr>
            <w:tcW w:w="2347" w:type="pct"/>
            <w:shd w:val="clear" w:color="auto" w:fill="auto"/>
            <w:vAlign w:val="center"/>
          </w:tcPr>
          <w:p w14:paraId="7056C51F">
            <w:pPr>
              <w:pStyle w:val="178"/>
              <w:jc w:val="both"/>
              <w:rPr>
                <w:rFonts w:hint="eastAsia"/>
              </w:rPr>
            </w:pPr>
            <w:r>
              <w:rPr>
                <w:rFonts w:hint="eastAsia"/>
              </w:rPr>
              <w:t>狗牙根、百喜草、高羊茅、多年生黑麦草、白三叶、紫花苜蓿、小冠花、弯叶画眉草</w:t>
            </w:r>
          </w:p>
        </w:tc>
      </w:tr>
      <w:tr w14:paraId="3C1AA3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602" w:type="pct"/>
            <w:shd w:val="clear" w:color="auto" w:fill="auto"/>
            <w:vAlign w:val="center"/>
          </w:tcPr>
          <w:p w14:paraId="0D52C0AA">
            <w:pPr>
              <w:pStyle w:val="178"/>
              <w:jc w:val="both"/>
              <w:rPr>
                <w:rFonts w:hint="eastAsia"/>
              </w:rPr>
            </w:pPr>
            <w:r>
              <w:rPr>
                <w:rFonts w:hint="eastAsia"/>
              </w:rPr>
              <w:t>西南岩溶区</w:t>
            </w:r>
          </w:p>
        </w:tc>
        <w:tc>
          <w:tcPr>
            <w:tcW w:w="2051" w:type="pct"/>
            <w:shd w:val="clear" w:color="auto" w:fill="auto"/>
            <w:vAlign w:val="center"/>
          </w:tcPr>
          <w:p w14:paraId="057EEDC5">
            <w:pPr>
              <w:pStyle w:val="178"/>
              <w:jc w:val="both"/>
              <w:rPr>
                <w:rFonts w:hint="eastAsia"/>
              </w:rPr>
            </w:pPr>
            <w:r>
              <w:rPr>
                <w:rFonts w:hint="eastAsia"/>
              </w:rPr>
              <w:t>车桑子、马棘、紫穗槐、火棘、小果蔷薇、黄荆、盐肤木、构树、香椿</w:t>
            </w:r>
          </w:p>
        </w:tc>
        <w:tc>
          <w:tcPr>
            <w:tcW w:w="2347" w:type="pct"/>
            <w:shd w:val="clear" w:color="auto" w:fill="auto"/>
            <w:vAlign w:val="center"/>
          </w:tcPr>
          <w:p w14:paraId="7AAE51AB">
            <w:pPr>
              <w:pStyle w:val="178"/>
              <w:jc w:val="both"/>
              <w:rPr>
                <w:rFonts w:hint="eastAsia"/>
              </w:rPr>
            </w:pPr>
            <w:r>
              <w:rPr>
                <w:rFonts w:hint="eastAsia"/>
              </w:rPr>
              <w:t>狗牙根、百喜草、类芦、五节芒、白三叶、紫花苜蓿、银合欢（草本状）、柱花草</w:t>
            </w:r>
          </w:p>
        </w:tc>
      </w:tr>
      <w:tr w14:paraId="61B00A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602" w:type="pct"/>
            <w:shd w:val="clear" w:color="auto" w:fill="auto"/>
            <w:vAlign w:val="center"/>
          </w:tcPr>
          <w:p w14:paraId="6318920D">
            <w:pPr>
              <w:pStyle w:val="178"/>
              <w:jc w:val="both"/>
              <w:rPr>
                <w:rFonts w:hint="eastAsia"/>
              </w:rPr>
            </w:pPr>
            <w:r>
              <w:rPr>
                <w:rFonts w:hint="eastAsia"/>
              </w:rPr>
              <w:t>青藏高原区</w:t>
            </w:r>
          </w:p>
        </w:tc>
        <w:tc>
          <w:tcPr>
            <w:tcW w:w="2051" w:type="pct"/>
            <w:shd w:val="clear" w:color="auto" w:fill="auto"/>
            <w:vAlign w:val="center"/>
          </w:tcPr>
          <w:p w14:paraId="12BB0CBF">
            <w:pPr>
              <w:pStyle w:val="178"/>
              <w:jc w:val="both"/>
              <w:rPr>
                <w:rFonts w:hint="eastAsia"/>
              </w:rPr>
            </w:pPr>
            <w:r>
              <w:rPr>
                <w:rFonts w:hint="eastAsia"/>
              </w:rPr>
              <w:t>金露梅、银露梅、高山绣线菊、鬼箭锦鸡儿、藏沙棘、杜鹃、栒子木、水柏枝、沙蒿</w:t>
            </w:r>
          </w:p>
        </w:tc>
        <w:tc>
          <w:tcPr>
            <w:tcW w:w="2347" w:type="pct"/>
            <w:shd w:val="clear" w:color="auto" w:fill="auto"/>
            <w:vAlign w:val="center"/>
          </w:tcPr>
          <w:p w14:paraId="03AD241F">
            <w:pPr>
              <w:pStyle w:val="178"/>
              <w:jc w:val="both"/>
            </w:pPr>
            <w:r>
              <w:rPr>
                <w:rFonts w:hint="eastAsia"/>
              </w:rPr>
              <w:t>披碱草、老芒麦、垂穗披碱草、中华羊茅、早熟禾、紫花针茅、青藏蒿、冷地早熟禾、赖草、白三叶、沙打旺</w:t>
            </w:r>
          </w:p>
        </w:tc>
      </w:tr>
    </w:tbl>
    <w:p w14:paraId="730E06F0">
      <w:pPr>
        <w:pStyle w:val="56"/>
        <w:ind w:firstLine="420"/>
      </w:pPr>
    </w:p>
    <w:p w14:paraId="5245C663">
      <w:pPr>
        <w:pStyle w:val="56"/>
        <w:ind w:firstLine="420"/>
      </w:pPr>
    </w:p>
    <w:p w14:paraId="2E065B7B">
      <w:pPr>
        <w:pStyle w:val="56"/>
        <w:ind w:firstLine="420"/>
        <w:sectPr>
          <w:headerReference r:id="rId25" w:type="default"/>
          <w:footerReference r:id="rId27" w:type="default"/>
          <w:headerReference r:id="rId26" w:type="even"/>
          <w:footerReference r:id="rId28" w:type="even"/>
          <w:pgSz w:w="11906" w:h="16838"/>
          <w:pgMar w:top="1928" w:right="1134" w:bottom="1134" w:left="1134" w:header="1418" w:footer="1134" w:gutter="284"/>
          <w:pgNumType w:fmt="decimal"/>
          <w:cols w:space="425" w:num="1"/>
          <w:formProt w:val="0"/>
          <w:docGrid w:linePitch="312" w:charSpace="0"/>
        </w:sectPr>
      </w:pPr>
    </w:p>
    <w:p w14:paraId="2D1597E3">
      <w:pPr>
        <w:pStyle w:val="198"/>
      </w:pPr>
    </w:p>
    <w:p w14:paraId="532C9A37">
      <w:pPr>
        <w:pStyle w:val="199"/>
        <w:numPr>
          <w:ilvl w:val="0"/>
          <w:numId w:val="0"/>
        </w:numPr>
        <w:ind w:left="0"/>
      </w:pPr>
      <w:r>
        <w:rPr>
          <w:rFonts w:hint="eastAsia" w:ascii="宋体" w:hAnsi="Times New Roman" w:eastAsia="黑体" w:cs="Times New Roman"/>
          <w:vanish/>
          <w:sz w:val="2"/>
          <w:lang w:val="en-US" w:eastAsia="zh-CN" w:bidi="ar-SA"/>
        </w:rPr>
        <w:t>C</w:t>
      </w:r>
    </w:p>
    <w:p w14:paraId="226FD05E">
      <w:pPr>
        <w:pStyle w:val="76"/>
        <w:spacing w:after="120"/>
        <w:rPr>
          <w:rFonts w:hint="eastAsia"/>
        </w:rPr>
      </w:pPr>
      <w:bookmarkStart w:id="77" w:name="_Toc13018"/>
      <w:r>
        <w:br w:type="textWrapping"/>
      </w:r>
      <w:bookmarkStart w:id="78" w:name="_Toc230557431"/>
      <w:r>
        <w:rPr>
          <w:rFonts w:hint="eastAsia"/>
        </w:rPr>
        <w:t>（资料性）</w:t>
      </w:r>
      <w:r>
        <w:br w:type="textWrapping"/>
      </w:r>
      <w:r>
        <w:rPr>
          <w:rFonts w:hint="eastAsia"/>
        </w:rPr>
        <w:t>植被恢复施工技术参考表</w:t>
      </w:r>
      <w:bookmarkEnd w:id="77"/>
      <w:bookmarkEnd w:id="78"/>
    </w:p>
    <w:p w14:paraId="52676627">
      <w:pPr>
        <w:pStyle w:val="56"/>
        <w:ind w:firstLine="420"/>
        <w:rPr>
          <w:rFonts w:hint="eastAsia"/>
        </w:rPr>
      </w:pPr>
      <w:r>
        <w:rPr>
          <w:rFonts w:hint="eastAsia"/>
        </w:rPr>
        <w:t>黄土梁、峁、丘陵区植被恢复施工技术操作要点及操作要求参考表见表C.1。</w:t>
      </w:r>
    </w:p>
    <w:p w14:paraId="721A66B6">
      <w:pPr>
        <w:pStyle w:val="77"/>
        <w:numPr>
          <w:ilvl w:val="1"/>
          <w:numId w:val="0"/>
        </w:numPr>
        <w:spacing w:before="120" w:after="120"/>
      </w:pPr>
      <w:r>
        <w:rPr>
          <w:rFonts w:hint="eastAsia" w:ascii="黑体" w:hAnsi="Times New Roman" w:eastAsia="黑体" w:cs="Times New Roman"/>
          <w:kern w:val="21"/>
          <w:sz w:val="21"/>
          <w:lang w:val="en-US" w:eastAsia="zh-CN" w:bidi="ar-SA"/>
        </w:rPr>
        <w:t>表C.1</w:t>
      </w:r>
      <w:r>
        <w:rPr>
          <w:rFonts w:hint="eastAsia"/>
        </w:rPr>
        <w:t xml:space="preserve"> 植被恢复施工技术参考表</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57" w:type="dxa"/>
          <w:left w:w="85" w:type="dxa"/>
          <w:bottom w:w="57" w:type="dxa"/>
          <w:right w:w="85" w:type="dxa"/>
        </w:tblCellMar>
      </w:tblPr>
      <w:tblGrid>
        <w:gridCol w:w="2019"/>
        <w:gridCol w:w="2166"/>
        <w:gridCol w:w="5339"/>
      </w:tblGrid>
      <w:tr w14:paraId="3A8ABE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1060" w:type="pct"/>
            <w:tcBorders>
              <w:bottom w:val="single" w:color="auto" w:sz="8" w:space="0"/>
            </w:tcBorders>
            <w:shd w:val="clear" w:color="auto" w:fill="auto"/>
            <w:vAlign w:val="center"/>
          </w:tcPr>
          <w:p w14:paraId="7972E713">
            <w:pPr>
              <w:pStyle w:val="178"/>
            </w:pPr>
            <w:r>
              <w:rPr>
                <w:lang w:bidi="ar"/>
              </w:rPr>
              <w:t>环节</w:t>
            </w:r>
          </w:p>
        </w:tc>
        <w:tc>
          <w:tcPr>
            <w:tcW w:w="1137" w:type="pct"/>
            <w:tcBorders>
              <w:bottom w:val="single" w:color="auto" w:sz="8" w:space="0"/>
            </w:tcBorders>
            <w:shd w:val="clear" w:color="auto" w:fill="auto"/>
            <w:vAlign w:val="center"/>
          </w:tcPr>
          <w:p w14:paraId="3C5BC487">
            <w:pPr>
              <w:pStyle w:val="178"/>
            </w:pPr>
            <w:r>
              <w:rPr>
                <w:lang w:bidi="ar"/>
              </w:rPr>
              <w:t>操作要点</w:t>
            </w:r>
          </w:p>
        </w:tc>
        <w:tc>
          <w:tcPr>
            <w:tcW w:w="2803" w:type="pct"/>
            <w:tcBorders>
              <w:bottom w:val="single" w:color="auto" w:sz="8" w:space="0"/>
            </w:tcBorders>
            <w:shd w:val="clear" w:color="auto" w:fill="auto"/>
            <w:vAlign w:val="center"/>
          </w:tcPr>
          <w:p w14:paraId="4A696846">
            <w:pPr>
              <w:pStyle w:val="178"/>
            </w:pPr>
            <w:r>
              <w:rPr>
                <w:lang w:bidi="ar"/>
              </w:rPr>
              <w:t>操作要求</w:t>
            </w:r>
          </w:p>
        </w:tc>
      </w:tr>
      <w:tr w14:paraId="0BCBCF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1060" w:type="pct"/>
            <w:tcBorders>
              <w:top w:val="single" w:color="auto" w:sz="8" w:space="0"/>
              <w:bottom w:val="single" w:color="auto" w:sz="4" w:space="0"/>
            </w:tcBorders>
            <w:shd w:val="clear" w:color="auto" w:fill="auto"/>
            <w:vAlign w:val="center"/>
          </w:tcPr>
          <w:p w14:paraId="74B9072F">
            <w:pPr>
              <w:pStyle w:val="178"/>
              <w:jc w:val="both"/>
            </w:pPr>
            <w:r>
              <w:rPr>
                <w:rStyle w:val="29"/>
                <w:rFonts w:ascii="Times New Roman"/>
                <w:b w:val="0"/>
                <w:bCs w:val="0"/>
                <w:szCs w:val="18"/>
                <w:lang w:bidi="ar"/>
              </w:rPr>
              <w:t>一、坡面固化前处理</w:t>
            </w:r>
          </w:p>
        </w:tc>
        <w:tc>
          <w:tcPr>
            <w:tcW w:w="1137" w:type="pct"/>
            <w:tcBorders>
              <w:top w:val="single" w:color="auto" w:sz="8" w:space="0"/>
              <w:bottom w:val="single" w:color="auto" w:sz="4" w:space="0"/>
            </w:tcBorders>
            <w:shd w:val="clear" w:color="auto" w:fill="auto"/>
            <w:vAlign w:val="center"/>
          </w:tcPr>
          <w:p w14:paraId="38E01084">
            <w:pPr>
              <w:pStyle w:val="178"/>
              <w:jc w:val="both"/>
              <w:rPr>
                <w:lang w:bidi="ar"/>
              </w:rPr>
            </w:pPr>
            <w:r>
              <w:rPr>
                <w:lang w:bidi="ar"/>
              </w:rPr>
              <w:t>1.</w:t>
            </w:r>
            <w:r>
              <w:rPr>
                <w:rFonts w:hint="eastAsia"/>
                <w:lang w:bidi="ar"/>
              </w:rPr>
              <w:t xml:space="preserve"> </w:t>
            </w:r>
            <w:r>
              <w:rPr>
                <w:lang w:bidi="ar"/>
              </w:rPr>
              <w:t>浇水润湿坡面</w:t>
            </w:r>
          </w:p>
          <w:p w14:paraId="0410EB9F">
            <w:pPr>
              <w:pStyle w:val="178"/>
              <w:jc w:val="both"/>
              <w:rPr>
                <w:lang w:bidi="ar"/>
              </w:rPr>
            </w:pPr>
            <w:r>
              <w:rPr>
                <w:lang w:bidi="ar"/>
              </w:rPr>
              <w:t>2.</w:t>
            </w:r>
            <w:r>
              <w:rPr>
                <w:rFonts w:hint="eastAsia"/>
                <w:lang w:bidi="ar"/>
              </w:rPr>
              <w:t xml:space="preserve"> </w:t>
            </w:r>
            <w:r>
              <w:rPr>
                <w:lang w:bidi="ar"/>
              </w:rPr>
              <w:t>清理平整坡面</w:t>
            </w:r>
          </w:p>
          <w:p w14:paraId="530F657F">
            <w:pPr>
              <w:pStyle w:val="178"/>
              <w:jc w:val="both"/>
            </w:pPr>
            <w:r>
              <w:rPr>
                <w:lang w:bidi="ar"/>
              </w:rPr>
              <w:t>3.</w:t>
            </w:r>
            <w:r>
              <w:rPr>
                <w:rFonts w:hint="eastAsia"/>
                <w:lang w:bidi="ar"/>
              </w:rPr>
              <w:t xml:space="preserve"> </w:t>
            </w:r>
            <w:r>
              <w:rPr>
                <w:lang w:bidi="ar"/>
              </w:rPr>
              <w:t>划分施工区域</w:t>
            </w:r>
          </w:p>
        </w:tc>
        <w:tc>
          <w:tcPr>
            <w:tcW w:w="2803" w:type="pct"/>
            <w:tcBorders>
              <w:top w:val="single" w:color="auto" w:sz="8" w:space="0"/>
              <w:bottom w:val="single" w:color="auto" w:sz="4" w:space="0"/>
            </w:tcBorders>
            <w:shd w:val="clear" w:color="auto" w:fill="auto"/>
            <w:vAlign w:val="center"/>
          </w:tcPr>
          <w:p w14:paraId="702E708E">
            <w:pPr>
              <w:pStyle w:val="178"/>
              <w:jc w:val="both"/>
              <w:rPr>
                <w:lang w:bidi="ar"/>
              </w:rPr>
            </w:pPr>
            <w:r>
              <w:rPr>
                <w:lang w:bidi="ar"/>
              </w:rPr>
              <w:t>1.</w:t>
            </w:r>
            <w:r>
              <w:rPr>
                <w:rFonts w:hint="eastAsia"/>
                <w:lang w:bidi="ar"/>
              </w:rPr>
              <w:t xml:space="preserve"> </w:t>
            </w:r>
            <w:r>
              <w:rPr>
                <w:lang w:bidi="ar"/>
              </w:rPr>
              <w:t>土壤湿度：接近天然湿度，不宜过湿</w:t>
            </w:r>
          </w:p>
          <w:p w14:paraId="30FF69DD">
            <w:pPr>
              <w:pStyle w:val="178"/>
              <w:jc w:val="both"/>
              <w:rPr>
                <w:lang w:bidi="ar"/>
              </w:rPr>
            </w:pPr>
            <w:r>
              <w:rPr>
                <w:lang w:bidi="ar"/>
              </w:rPr>
              <w:t>2.</w:t>
            </w:r>
            <w:r>
              <w:rPr>
                <w:rFonts w:hint="eastAsia"/>
                <w:lang w:bidi="ar"/>
              </w:rPr>
              <w:t xml:space="preserve"> </w:t>
            </w:r>
            <w:r>
              <w:rPr>
                <w:lang w:bidi="ar"/>
              </w:rPr>
              <w:t>清理内容：碎石、植物残根等杂物，抹平凹凸部位</w:t>
            </w:r>
          </w:p>
          <w:p w14:paraId="601F3906">
            <w:pPr>
              <w:pStyle w:val="178"/>
              <w:jc w:val="both"/>
            </w:pPr>
            <w:r>
              <w:rPr>
                <w:lang w:bidi="ar"/>
              </w:rPr>
              <w:t>3.</w:t>
            </w:r>
            <w:r>
              <w:rPr>
                <w:rFonts w:hint="eastAsia"/>
                <w:lang w:bidi="ar"/>
              </w:rPr>
              <w:t xml:space="preserve"> </w:t>
            </w:r>
            <w:r>
              <w:rPr>
                <w:lang w:bidi="ar"/>
              </w:rPr>
              <w:t>划分标准化作业区域，便于分区施工管理</w:t>
            </w:r>
          </w:p>
        </w:tc>
      </w:tr>
      <w:tr w14:paraId="24B13B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1060" w:type="pct"/>
            <w:tcBorders>
              <w:top w:val="single" w:color="auto" w:sz="4" w:space="0"/>
            </w:tcBorders>
            <w:shd w:val="clear" w:color="auto" w:fill="auto"/>
            <w:vAlign w:val="center"/>
          </w:tcPr>
          <w:p w14:paraId="44241F76">
            <w:pPr>
              <w:pStyle w:val="178"/>
              <w:jc w:val="both"/>
            </w:pPr>
            <w:r>
              <w:rPr>
                <w:rStyle w:val="29"/>
                <w:rFonts w:ascii="Times New Roman"/>
                <w:b w:val="0"/>
                <w:bCs w:val="0"/>
                <w:szCs w:val="18"/>
                <w:lang w:bidi="ar"/>
              </w:rPr>
              <w:t>二、坡面固化施工</w:t>
            </w:r>
          </w:p>
        </w:tc>
        <w:tc>
          <w:tcPr>
            <w:tcW w:w="1137" w:type="pct"/>
            <w:tcBorders>
              <w:top w:val="single" w:color="auto" w:sz="4" w:space="0"/>
            </w:tcBorders>
            <w:shd w:val="clear" w:color="auto" w:fill="auto"/>
            <w:vAlign w:val="center"/>
          </w:tcPr>
          <w:p w14:paraId="1F82BF51">
            <w:pPr>
              <w:pStyle w:val="178"/>
              <w:jc w:val="both"/>
              <w:rPr>
                <w:lang w:bidi="ar"/>
              </w:rPr>
            </w:pPr>
            <w:r>
              <w:rPr>
                <w:lang w:bidi="ar"/>
              </w:rPr>
              <w:t>1.</w:t>
            </w:r>
            <w:r>
              <w:rPr>
                <w:rFonts w:hint="eastAsia"/>
                <w:lang w:bidi="ar"/>
              </w:rPr>
              <w:t xml:space="preserve"> </w:t>
            </w:r>
            <w:r>
              <w:rPr>
                <w:lang w:bidi="ar"/>
              </w:rPr>
              <w:t>菌液与胶结液运输</w:t>
            </w:r>
          </w:p>
          <w:p w14:paraId="4E8D6705">
            <w:pPr>
              <w:pStyle w:val="178"/>
              <w:jc w:val="both"/>
              <w:rPr>
                <w:lang w:bidi="ar"/>
              </w:rPr>
            </w:pPr>
            <w:r>
              <w:rPr>
                <w:lang w:bidi="ar"/>
              </w:rPr>
              <w:t>2.</w:t>
            </w:r>
            <w:r>
              <w:rPr>
                <w:rFonts w:hint="eastAsia"/>
                <w:lang w:bidi="ar"/>
              </w:rPr>
              <w:t xml:space="preserve"> </w:t>
            </w:r>
            <w:r>
              <w:rPr>
                <w:lang w:bidi="ar"/>
              </w:rPr>
              <w:t>均匀喷洒施工</w:t>
            </w:r>
          </w:p>
          <w:p w14:paraId="0CDDC541">
            <w:pPr>
              <w:pStyle w:val="178"/>
              <w:jc w:val="both"/>
              <w:rPr>
                <w:lang w:bidi="ar"/>
              </w:rPr>
            </w:pPr>
            <w:r>
              <w:rPr>
                <w:lang w:bidi="ar"/>
              </w:rPr>
              <w:t>3.</w:t>
            </w:r>
            <w:r>
              <w:rPr>
                <w:rFonts w:hint="eastAsia"/>
                <w:lang w:bidi="ar"/>
              </w:rPr>
              <w:t xml:space="preserve"> </w:t>
            </w:r>
            <w:r>
              <w:rPr>
                <w:lang w:bidi="ar"/>
              </w:rPr>
              <w:t>覆盖养护</w:t>
            </w:r>
          </w:p>
          <w:p w14:paraId="2E76E386">
            <w:pPr>
              <w:pStyle w:val="178"/>
              <w:jc w:val="both"/>
            </w:pPr>
            <w:r>
              <w:rPr>
                <w:lang w:bidi="ar"/>
              </w:rPr>
              <w:t>4.</w:t>
            </w:r>
            <w:r>
              <w:rPr>
                <w:rFonts w:hint="eastAsia"/>
                <w:lang w:bidi="ar"/>
              </w:rPr>
              <w:t xml:space="preserve"> </w:t>
            </w:r>
            <w:r>
              <w:rPr>
                <w:lang w:bidi="ar"/>
              </w:rPr>
              <w:t>固化效果检测</w:t>
            </w:r>
          </w:p>
        </w:tc>
        <w:tc>
          <w:tcPr>
            <w:tcW w:w="2803" w:type="pct"/>
            <w:tcBorders>
              <w:top w:val="single" w:color="auto" w:sz="4" w:space="0"/>
            </w:tcBorders>
            <w:shd w:val="clear" w:color="auto" w:fill="auto"/>
            <w:vAlign w:val="center"/>
          </w:tcPr>
          <w:p w14:paraId="6EC37809">
            <w:pPr>
              <w:pStyle w:val="178"/>
              <w:jc w:val="both"/>
              <w:rPr>
                <w:lang w:bidi="ar"/>
              </w:rPr>
            </w:pPr>
            <w:r>
              <w:rPr>
                <w:lang w:bidi="ar"/>
              </w:rPr>
              <w:t>1.</w:t>
            </w:r>
            <w:r>
              <w:rPr>
                <w:rFonts w:hint="eastAsia"/>
                <w:lang w:bidi="ar"/>
              </w:rPr>
              <w:t xml:space="preserve"> </w:t>
            </w:r>
            <w:r>
              <w:rPr>
                <w:lang w:bidi="ar"/>
              </w:rPr>
              <w:t>运输：采用遮光容器，避免阳光直射</w:t>
            </w:r>
          </w:p>
          <w:p w14:paraId="6FBDB76C">
            <w:pPr>
              <w:pStyle w:val="178"/>
              <w:jc w:val="both"/>
              <w:rPr>
                <w:lang w:bidi="ar"/>
              </w:rPr>
            </w:pPr>
            <w:r>
              <w:rPr>
                <w:lang w:bidi="ar"/>
              </w:rPr>
              <w:t>2.</w:t>
            </w:r>
            <w:r>
              <w:rPr>
                <w:rFonts w:hint="eastAsia"/>
                <w:lang w:bidi="ar"/>
              </w:rPr>
              <w:t xml:space="preserve"> </w:t>
            </w:r>
            <w:r>
              <w:rPr>
                <w:lang w:bidi="ar"/>
              </w:rPr>
              <w:t>喷洒：缓慢均匀喷洒，确保液体充分渗入</w:t>
            </w:r>
          </w:p>
          <w:p w14:paraId="12AAD8A5">
            <w:pPr>
              <w:pStyle w:val="178"/>
              <w:jc w:val="both"/>
              <w:rPr>
                <w:lang w:bidi="ar"/>
              </w:rPr>
            </w:pPr>
            <w:r>
              <w:rPr>
                <w:lang w:bidi="ar"/>
              </w:rPr>
              <w:t>3.</w:t>
            </w:r>
            <w:r>
              <w:rPr>
                <w:rFonts w:hint="eastAsia"/>
                <w:lang w:bidi="ar"/>
              </w:rPr>
              <w:t xml:space="preserve"> </w:t>
            </w:r>
            <w:r>
              <w:rPr>
                <w:lang w:bidi="ar"/>
              </w:rPr>
              <w:t>养护：每次喷洒后立即覆盖塑料薄膜，静置2 </w:t>
            </w:r>
            <w:r>
              <w:rPr>
                <w:rFonts w:hint="eastAsia"/>
                <w:lang w:bidi="ar"/>
              </w:rPr>
              <w:t>h</w:t>
            </w:r>
            <w:r>
              <w:rPr>
                <w:lang w:bidi="ar"/>
              </w:rPr>
              <w:t>～3 h</w:t>
            </w:r>
          </w:p>
          <w:p w14:paraId="2D0DED92">
            <w:pPr>
              <w:pStyle w:val="178"/>
              <w:jc w:val="both"/>
            </w:pPr>
            <w:r>
              <w:rPr>
                <w:lang w:bidi="ar"/>
              </w:rPr>
              <w:t>4.</w:t>
            </w:r>
            <w:r>
              <w:rPr>
                <w:rFonts w:hint="eastAsia"/>
                <w:lang w:bidi="ar"/>
              </w:rPr>
              <w:t xml:space="preserve"> </w:t>
            </w:r>
            <w:r>
              <w:rPr>
                <w:lang w:bidi="ar"/>
              </w:rPr>
              <w:t>检测指标：固化层厚度、渗透性、碳酸钙含量</w:t>
            </w:r>
          </w:p>
        </w:tc>
      </w:tr>
      <w:tr w14:paraId="07253F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1060" w:type="pct"/>
            <w:shd w:val="clear" w:color="auto" w:fill="auto"/>
            <w:vAlign w:val="center"/>
          </w:tcPr>
          <w:p w14:paraId="64F62EFC">
            <w:pPr>
              <w:pStyle w:val="178"/>
              <w:jc w:val="both"/>
            </w:pPr>
            <w:r>
              <w:rPr>
                <w:rStyle w:val="29"/>
                <w:rFonts w:ascii="Times New Roman"/>
                <w:b w:val="0"/>
                <w:bCs w:val="0"/>
                <w:szCs w:val="18"/>
                <w:lang w:bidi="ar"/>
              </w:rPr>
              <w:t>三、固化后植被恢复</w:t>
            </w:r>
          </w:p>
        </w:tc>
        <w:tc>
          <w:tcPr>
            <w:tcW w:w="1137" w:type="pct"/>
            <w:shd w:val="clear" w:color="auto" w:fill="auto"/>
            <w:vAlign w:val="center"/>
          </w:tcPr>
          <w:p w14:paraId="4C935BC3">
            <w:pPr>
              <w:pStyle w:val="178"/>
              <w:jc w:val="both"/>
              <w:rPr>
                <w:lang w:bidi="ar"/>
              </w:rPr>
            </w:pPr>
            <w:r>
              <w:rPr>
                <w:lang w:bidi="ar"/>
              </w:rPr>
              <w:t>1.</w:t>
            </w:r>
            <w:r>
              <w:rPr>
                <w:rFonts w:hint="eastAsia"/>
                <w:lang w:bidi="ar"/>
              </w:rPr>
              <w:t xml:space="preserve"> </w:t>
            </w:r>
            <w:r>
              <w:rPr>
                <w:lang w:bidi="ar"/>
              </w:rPr>
              <w:t>坡面打孔</w:t>
            </w:r>
          </w:p>
          <w:p w14:paraId="42D60BB4">
            <w:pPr>
              <w:pStyle w:val="178"/>
              <w:jc w:val="both"/>
              <w:rPr>
                <w:lang w:bidi="ar"/>
              </w:rPr>
            </w:pPr>
            <w:r>
              <w:rPr>
                <w:lang w:bidi="ar"/>
              </w:rPr>
              <w:t>2.</w:t>
            </w:r>
            <w:r>
              <w:rPr>
                <w:rFonts w:hint="eastAsia"/>
                <w:lang w:bidi="ar"/>
              </w:rPr>
              <w:t xml:space="preserve"> </w:t>
            </w:r>
            <w:r>
              <w:rPr>
                <w:lang w:bidi="ar"/>
              </w:rPr>
              <w:t>种子撒播或幼苗移栽</w:t>
            </w:r>
          </w:p>
          <w:p w14:paraId="504DA702">
            <w:pPr>
              <w:pStyle w:val="178"/>
              <w:jc w:val="both"/>
              <w:rPr>
                <w:lang w:bidi="ar"/>
              </w:rPr>
            </w:pPr>
            <w:r>
              <w:rPr>
                <w:lang w:bidi="ar"/>
              </w:rPr>
              <w:t>3.</w:t>
            </w:r>
            <w:r>
              <w:rPr>
                <w:rFonts w:hint="eastAsia"/>
                <w:lang w:bidi="ar"/>
              </w:rPr>
              <w:t xml:space="preserve"> </w:t>
            </w:r>
            <w:r>
              <w:rPr>
                <w:lang w:bidi="ar"/>
              </w:rPr>
              <w:t>覆土与浇水</w:t>
            </w:r>
          </w:p>
          <w:p w14:paraId="683B2D0A">
            <w:pPr>
              <w:pStyle w:val="178"/>
              <w:jc w:val="both"/>
            </w:pPr>
            <w:r>
              <w:rPr>
                <w:lang w:bidi="ar"/>
              </w:rPr>
              <w:t>4.</w:t>
            </w:r>
            <w:r>
              <w:rPr>
                <w:rFonts w:hint="eastAsia"/>
                <w:lang w:bidi="ar"/>
              </w:rPr>
              <w:t xml:space="preserve"> </w:t>
            </w:r>
            <w:r>
              <w:rPr>
                <w:lang w:bidi="ar"/>
              </w:rPr>
              <w:t>初期养护</w:t>
            </w:r>
          </w:p>
        </w:tc>
        <w:tc>
          <w:tcPr>
            <w:tcW w:w="2803" w:type="pct"/>
            <w:shd w:val="clear" w:color="auto" w:fill="auto"/>
            <w:vAlign w:val="center"/>
          </w:tcPr>
          <w:p w14:paraId="2E4740AE">
            <w:pPr>
              <w:pStyle w:val="178"/>
              <w:jc w:val="both"/>
              <w:rPr>
                <w:lang w:bidi="ar"/>
              </w:rPr>
            </w:pPr>
            <w:r>
              <w:rPr>
                <w:lang w:bidi="ar"/>
              </w:rPr>
              <w:t>1.</w:t>
            </w:r>
            <w:r>
              <w:rPr>
                <w:rFonts w:hint="eastAsia"/>
                <w:lang w:bidi="ar"/>
              </w:rPr>
              <w:t xml:space="preserve"> </w:t>
            </w:r>
            <w:r>
              <w:rPr>
                <w:lang w:bidi="ar"/>
              </w:rPr>
              <w:t>打孔参数：根据植被类型确定（参考附录A）</w:t>
            </w:r>
          </w:p>
          <w:p w14:paraId="47C3B6C4">
            <w:pPr>
              <w:pStyle w:val="178"/>
              <w:jc w:val="both"/>
              <w:rPr>
                <w:lang w:bidi="ar"/>
              </w:rPr>
            </w:pPr>
            <w:r>
              <w:rPr>
                <w:lang w:bidi="ar"/>
              </w:rPr>
              <w:t>2.</w:t>
            </w:r>
            <w:r>
              <w:rPr>
                <w:rFonts w:hint="eastAsia"/>
                <w:lang w:bidi="ar"/>
              </w:rPr>
              <w:t xml:space="preserve"> </w:t>
            </w:r>
            <w:r>
              <w:rPr>
                <w:lang w:bidi="ar"/>
              </w:rPr>
              <w:t>种植方式：种子撒播或带土坨移栽</w:t>
            </w:r>
          </w:p>
          <w:p w14:paraId="07FD6A9C">
            <w:pPr>
              <w:pStyle w:val="178"/>
              <w:jc w:val="both"/>
              <w:rPr>
                <w:lang w:bidi="ar"/>
              </w:rPr>
            </w:pPr>
            <w:r>
              <w:rPr>
                <w:lang w:bidi="ar"/>
              </w:rPr>
              <w:t>3.</w:t>
            </w:r>
            <w:r>
              <w:rPr>
                <w:rFonts w:hint="eastAsia"/>
                <w:lang w:bidi="ar"/>
              </w:rPr>
              <w:t xml:space="preserve"> </w:t>
            </w:r>
            <w:r>
              <w:rPr>
                <w:lang w:bidi="ar"/>
              </w:rPr>
              <w:t>覆土：覆盖湿润土壤+缓释营养土，孔口略高于坡面</w:t>
            </w:r>
          </w:p>
          <w:p w14:paraId="002477AB">
            <w:pPr>
              <w:pStyle w:val="178"/>
              <w:jc w:val="both"/>
              <w:rPr>
                <w:lang w:bidi="ar"/>
              </w:rPr>
            </w:pPr>
            <w:r>
              <w:rPr>
                <w:lang w:bidi="ar"/>
              </w:rPr>
              <w:t>4.</w:t>
            </w:r>
            <w:r>
              <w:rPr>
                <w:rFonts w:hint="eastAsia"/>
                <w:lang w:bidi="ar"/>
              </w:rPr>
              <w:t xml:space="preserve"> </w:t>
            </w:r>
            <w:r>
              <w:rPr>
                <w:lang w:bidi="ar"/>
              </w:rPr>
              <w:t>中陡边坡紫穗槐+麦冬草混植参考：</w:t>
            </w:r>
            <w:r>
              <w:rPr>
                <w:rFonts w:hint="eastAsia"/>
                <w:lang w:bidi="ar"/>
              </w:rPr>
              <w:t>种植孔直径10</w:t>
            </w:r>
            <w:r>
              <w:rPr>
                <w:lang w:bidi="ar"/>
              </w:rPr>
              <w:t xml:space="preserve"> </w:t>
            </w:r>
            <w:r>
              <w:rPr>
                <w:rFonts w:hint="eastAsia"/>
                <w:lang w:bidi="ar"/>
              </w:rPr>
              <w:t>cm，麦冬草种植深度10</w:t>
            </w:r>
            <w:r>
              <w:rPr>
                <w:lang w:bidi="ar"/>
              </w:rPr>
              <w:t xml:space="preserve"> </w:t>
            </w:r>
            <w:r>
              <w:rPr>
                <w:rFonts w:hint="eastAsia"/>
                <w:lang w:bidi="ar"/>
              </w:rPr>
              <w:t>cm、间距8</w:t>
            </w:r>
            <w:r>
              <w:rPr>
                <w:lang w:bidi="ar"/>
              </w:rPr>
              <w:t> </w:t>
            </w:r>
            <w:r>
              <w:rPr>
                <w:rFonts w:hint="eastAsia"/>
                <w:lang w:bidi="ar"/>
              </w:rPr>
              <w:t>cm～12</w:t>
            </w:r>
            <w:r>
              <w:rPr>
                <w:lang w:bidi="ar"/>
              </w:rPr>
              <w:t xml:space="preserve"> </w:t>
            </w:r>
            <w:r>
              <w:rPr>
                <w:rFonts w:hint="eastAsia"/>
                <w:lang w:bidi="ar"/>
              </w:rPr>
              <w:t>cm，紫穗槐种植深度20</w:t>
            </w:r>
            <w:r>
              <w:rPr>
                <w:lang w:bidi="ar"/>
              </w:rPr>
              <w:t xml:space="preserve"> </w:t>
            </w:r>
            <w:r>
              <w:rPr>
                <w:rFonts w:hint="eastAsia"/>
                <w:lang w:bidi="ar"/>
              </w:rPr>
              <w:t>cm、间距15</w:t>
            </w:r>
            <w:r>
              <w:rPr>
                <w:lang w:bidi="ar"/>
              </w:rPr>
              <w:t> </w:t>
            </w:r>
            <w:r>
              <w:rPr>
                <w:rFonts w:hint="eastAsia"/>
                <w:lang w:bidi="ar"/>
              </w:rPr>
              <w:t>cm～20</w:t>
            </w:r>
            <w:r>
              <w:rPr>
                <w:lang w:bidi="ar"/>
              </w:rPr>
              <w:t xml:space="preserve"> cm</w:t>
            </w:r>
          </w:p>
          <w:p w14:paraId="7BA83242">
            <w:pPr>
              <w:pStyle w:val="178"/>
              <w:jc w:val="both"/>
            </w:pPr>
            <w:r>
              <w:rPr>
                <w:lang w:bidi="ar"/>
              </w:rPr>
              <w:t>5.</w:t>
            </w:r>
            <w:r>
              <w:rPr>
                <w:rFonts w:hint="eastAsia"/>
                <w:lang w:bidi="ar"/>
              </w:rPr>
              <w:t xml:space="preserve"> </w:t>
            </w:r>
            <w:r>
              <w:rPr>
                <w:lang w:bidi="ar"/>
              </w:rPr>
              <w:t>浇水：种植后浇透定根水，初期每1 d浇1次，1周后延长间隔，3周后转入自然养护</w:t>
            </w:r>
          </w:p>
        </w:tc>
      </w:tr>
      <w:tr w14:paraId="205811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1060" w:type="pct"/>
            <w:shd w:val="clear" w:color="auto" w:fill="auto"/>
            <w:vAlign w:val="center"/>
          </w:tcPr>
          <w:p w14:paraId="4A4A2843">
            <w:pPr>
              <w:pStyle w:val="178"/>
              <w:jc w:val="both"/>
            </w:pPr>
            <w:r>
              <w:rPr>
                <w:rStyle w:val="29"/>
                <w:rFonts w:ascii="Times New Roman"/>
                <w:b w:val="0"/>
                <w:bCs w:val="0"/>
                <w:szCs w:val="18"/>
                <w:lang w:bidi="ar"/>
              </w:rPr>
              <w:t>四、效果监测数据获取</w:t>
            </w:r>
          </w:p>
        </w:tc>
        <w:tc>
          <w:tcPr>
            <w:tcW w:w="1137" w:type="pct"/>
            <w:shd w:val="clear" w:color="auto" w:fill="auto"/>
            <w:vAlign w:val="center"/>
          </w:tcPr>
          <w:p w14:paraId="31074345">
            <w:pPr>
              <w:pStyle w:val="178"/>
              <w:jc w:val="both"/>
              <w:rPr>
                <w:lang w:bidi="ar"/>
              </w:rPr>
            </w:pPr>
            <w:r>
              <w:rPr>
                <w:lang w:bidi="ar"/>
              </w:rPr>
              <w:t>1.</w:t>
            </w:r>
            <w:r>
              <w:rPr>
                <w:rFonts w:hint="eastAsia"/>
                <w:lang w:bidi="ar"/>
              </w:rPr>
              <w:t xml:space="preserve"> </w:t>
            </w:r>
            <w:r>
              <w:rPr>
                <w:lang w:bidi="ar"/>
              </w:rPr>
              <w:t>植物成活率统计</w:t>
            </w:r>
          </w:p>
          <w:p w14:paraId="78494401">
            <w:pPr>
              <w:pStyle w:val="178"/>
              <w:jc w:val="both"/>
              <w:rPr>
                <w:lang w:bidi="ar"/>
              </w:rPr>
            </w:pPr>
            <w:r>
              <w:rPr>
                <w:lang w:bidi="ar"/>
              </w:rPr>
              <w:t>2.</w:t>
            </w:r>
            <w:r>
              <w:rPr>
                <w:rFonts w:hint="eastAsia"/>
                <w:lang w:bidi="ar"/>
              </w:rPr>
              <w:t xml:space="preserve"> </w:t>
            </w:r>
            <w:r>
              <w:rPr>
                <w:lang w:bidi="ar"/>
              </w:rPr>
              <w:t>生长指标测定</w:t>
            </w:r>
          </w:p>
          <w:p w14:paraId="01548BE5">
            <w:pPr>
              <w:pStyle w:val="178"/>
              <w:jc w:val="both"/>
            </w:pPr>
            <w:r>
              <w:rPr>
                <w:lang w:bidi="ar"/>
              </w:rPr>
              <w:t>3.</w:t>
            </w:r>
            <w:r>
              <w:rPr>
                <w:rFonts w:hint="eastAsia"/>
                <w:lang w:bidi="ar"/>
              </w:rPr>
              <w:t xml:space="preserve"> </w:t>
            </w:r>
            <w:r>
              <w:rPr>
                <w:lang w:bidi="ar"/>
              </w:rPr>
              <w:t>植被覆盖度监测</w:t>
            </w:r>
          </w:p>
        </w:tc>
        <w:tc>
          <w:tcPr>
            <w:tcW w:w="2803" w:type="pct"/>
            <w:shd w:val="clear" w:color="auto" w:fill="auto"/>
            <w:vAlign w:val="center"/>
          </w:tcPr>
          <w:p w14:paraId="1F1224EE">
            <w:pPr>
              <w:pStyle w:val="178"/>
              <w:jc w:val="both"/>
              <w:rPr>
                <w:lang w:bidi="ar"/>
              </w:rPr>
            </w:pPr>
            <w:r>
              <w:rPr>
                <w:lang w:bidi="ar"/>
              </w:rPr>
              <w:t>1.</w:t>
            </w:r>
            <w:r>
              <w:rPr>
                <w:rFonts w:hint="eastAsia"/>
                <w:lang w:bidi="ar"/>
              </w:rPr>
              <w:t xml:space="preserve"> </w:t>
            </w:r>
            <w:r>
              <w:rPr>
                <w:lang w:bidi="ar"/>
              </w:rPr>
              <w:t>成活率：种植后1周首次统计，之后每2</w:t>
            </w:r>
            <w:r>
              <w:rPr>
                <w:rFonts w:hint="eastAsia"/>
                <w:lang w:bidi="ar"/>
              </w:rPr>
              <w:t>周</w:t>
            </w:r>
            <w:r>
              <w:rPr>
                <w:lang w:bidi="ar"/>
              </w:rPr>
              <w:t>～3周1次，后期间隔不大于60 d</w:t>
            </w:r>
          </w:p>
          <w:p w14:paraId="01394C6A">
            <w:pPr>
              <w:pStyle w:val="178"/>
              <w:jc w:val="both"/>
              <w:rPr>
                <w:lang w:bidi="ar"/>
              </w:rPr>
            </w:pPr>
            <w:r>
              <w:rPr>
                <w:lang w:bidi="ar"/>
              </w:rPr>
              <w:t>2.</w:t>
            </w:r>
            <w:r>
              <w:rPr>
                <w:rFonts w:hint="eastAsia"/>
                <w:lang w:bidi="ar"/>
              </w:rPr>
              <w:t xml:space="preserve"> </w:t>
            </w:r>
            <w:r>
              <w:rPr>
                <w:lang w:bidi="ar"/>
              </w:rPr>
              <w:t>地径/株高：种植时首次测定，之后每25 </w:t>
            </w:r>
            <w:r>
              <w:rPr>
                <w:rFonts w:hint="eastAsia"/>
                <w:lang w:bidi="ar"/>
              </w:rPr>
              <w:t>d</w:t>
            </w:r>
            <w:r>
              <w:rPr>
                <w:lang w:bidi="ar"/>
              </w:rPr>
              <w:t>～30 d</w:t>
            </w:r>
            <w:r>
              <w:rPr>
                <w:rFonts w:hint="eastAsia"/>
                <w:lang w:bidi="ar"/>
              </w:rPr>
              <w:t>进行</w:t>
            </w:r>
            <w:r>
              <w:rPr>
                <w:lang w:bidi="ar"/>
              </w:rPr>
              <w:t>1次</w:t>
            </w:r>
          </w:p>
          <w:p w14:paraId="55E3B288">
            <w:pPr>
              <w:pStyle w:val="178"/>
              <w:jc w:val="both"/>
            </w:pPr>
            <w:r>
              <w:rPr>
                <w:lang w:bidi="ar"/>
              </w:rPr>
              <w:t>3.</w:t>
            </w:r>
            <w:r>
              <w:rPr>
                <w:rFonts w:hint="eastAsia"/>
                <w:lang w:bidi="ar"/>
              </w:rPr>
              <w:t xml:space="preserve"> </w:t>
            </w:r>
            <w:r>
              <w:rPr>
                <w:lang w:bidi="ar"/>
              </w:rPr>
              <w:t>覆盖度：无人机航拍法，恢复当天首次拍摄，生长初期每21 d</w:t>
            </w:r>
            <w:r>
              <w:rPr>
                <w:rFonts w:hint="eastAsia"/>
                <w:lang w:bidi="ar"/>
              </w:rPr>
              <w:t>进行</w:t>
            </w:r>
            <w:r>
              <w:rPr>
                <w:lang w:bidi="ar"/>
              </w:rPr>
              <w:t>1次，后期间隔不大于30 d</w:t>
            </w:r>
          </w:p>
        </w:tc>
      </w:tr>
      <w:tr w14:paraId="07C162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1060" w:type="pct"/>
            <w:shd w:val="clear" w:color="auto" w:fill="auto"/>
            <w:vAlign w:val="center"/>
          </w:tcPr>
          <w:p w14:paraId="122B75A6">
            <w:pPr>
              <w:pStyle w:val="178"/>
              <w:jc w:val="both"/>
            </w:pPr>
            <w:r>
              <w:rPr>
                <w:rStyle w:val="29"/>
                <w:rFonts w:ascii="Times New Roman"/>
                <w:b w:val="0"/>
                <w:bCs w:val="0"/>
                <w:szCs w:val="18"/>
                <w:lang w:bidi="ar"/>
              </w:rPr>
              <w:t>五、常见问题及处理</w:t>
            </w:r>
          </w:p>
        </w:tc>
        <w:tc>
          <w:tcPr>
            <w:tcW w:w="1137" w:type="pct"/>
            <w:shd w:val="clear" w:color="auto" w:fill="auto"/>
            <w:vAlign w:val="center"/>
          </w:tcPr>
          <w:p w14:paraId="5D47A689">
            <w:pPr>
              <w:pStyle w:val="178"/>
              <w:jc w:val="both"/>
              <w:rPr>
                <w:lang w:bidi="ar"/>
              </w:rPr>
            </w:pPr>
            <w:r>
              <w:rPr>
                <w:lang w:bidi="ar"/>
              </w:rPr>
              <w:t>1.</w:t>
            </w:r>
            <w:r>
              <w:rPr>
                <w:rFonts w:hint="eastAsia"/>
                <w:lang w:bidi="ar"/>
              </w:rPr>
              <w:t xml:space="preserve"> </w:t>
            </w:r>
            <w:r>
              <w:rPr>
                <w:lang w:bidi="ar"/>
              </w:rPr>
              <w:t>种子发芽率低</w:t>
            </w:r>
          </w:p>
          <w:p w14:paraId="36A831BE">
            <w:pPr>
              <w:pStyle w:val="178"/>
              <w:jc w:val="both"/>
              <w:rPr>
                <w:lang w:bidi="ar"/>
              </w:rPr>
            </w:pPr>
            <w:r>
              <w:rPr>
                <w:lang w:bidi="ar"/>
              </w:rPr>
              <w:t>2.</w:t>
            </w:r>
            <w:r>
              <w:rPr>
                <w:rFonts w:hint="eastAsia"/>
                <w:lang w:bidi="ar"/>
              </w:rPr>
              <w:t xml:space="preserve"> </w:t>
            </w:r>
            <w:r>
              <w:rPr>
                <w:lang w:bidi="ar"/>
              </w:rPr>
              <w:t>幼苗成活率低</w:t>
            </w:r>
          </w:p>
          <w:p w14:paraId="01C87D72">
            <w:pPr>
              <w:pStyle w:val="178"/>
              <w:jc w:val="both"/>
              <w:rPr>
                <w:lang w:bidi="ar"/>
              </w:rPr>
            </w:pPr>
            <w:r>
              <w:rPr>
                <w:lang w:bidi="ar"/>
              </w:rPr>
              <w:t>3.</w:t>
            </w:r>
            <w:r>
              <w:rPr>
                <w:rFonts w:hint="eastAsia"/>
                <w:lang w:bidi="ar"/>
              </w:rPr>
              <w:t xml:space="preserve"> </w:t>
            </w:r>
            <w:r>
              <w:rPr>
                <w:lang w:bidi="ar"/>
              </w:rPr>
              <w:t>病虫害发生</w:t>
            </w:r>
          </w:p>
          <w:p w14:paraId="4D12BA68">
            <w:pPr>
              <w:pStyle w:val="178"/>
              <w:jc w:val="both"/>
            </w:pPr>
            <w:r>
              <w:rPr>
                <w:lang w:bidi="ar"/>
              </w:rPr>
              <w:t>4.</w:t>
            </w:r>
            <w:r>
              <w:rPr>
                <w:rFonts w:hint="eastAsia"/>
                <w:lang w:bidi="ar"/>
              </w:rPr>
              <w:t xml:space="preserve"> </w:t>
            </w:r>
            <w:r>
              <w:rPr>
                <w:lang w:bidi="ar"/>
              </w:rPr>
              <w:t>杂草入侵</w:t>
            </w:r>
          </w:p>
        </w:tc>
        <w:tc>
          <w:tcPr>
            <w:tcW w:w="2803" w:type="pct"/>
            <w:shd w:val="clear" w:color="auto" w:fill="auto"/>
            <w:vAlign w:val="center"/>
          </w:tcPr>
          <w:p w14:paraId="76E5B7F6">
            <w:pPr>
              <w:pStyle w:val="178"/>
              <w:jc w:val="both"/>
              <w:rPr>
                <w:lang w:bidi="ar"/>
              </w:rPr>
            </w:pPr>
            <w:r>
              <w:rPr>
                <w:lang w:bidi="ar"/>
              </w:rPr>
              <w:t>1.</w:t>
            </w:r>
            <w:r>
              <w:rPr>
                <w:rFonts w:hint="eastAsia"/>
                <w:lang w:bidi="ar"/>
              </w:rPr>
              <w:t xml:space="preserve"> </w:t>
            </w:r>
            <w:r>
              <w:rPr>
                <w:lang w:bidi="ar"/>
              </w:rPr>
              <w:t>选用发芽率不小于85%的优质种子，控制播种深度，及时浇水保湿，增加打孔密度</w:t>
            </w:r>
          </w:p>
          <w:p w14:paraId="4DA4DF8F">
            <w:pPr>
              <w:pStyle w:val="178"/>
              <w:jc w:val="both"/>
              <w:rPr>
                <w:lang w:bidi="ar"/>
              </w:rPr>
            </w:pPr>
            <w:r>
              <w:rPr>
                <w:lang w:bidi="ar"/>
              </w:rPr>
              <w:t>2.</w:t>
            </w:r>
            <w:r>
              <w:rPr>
                <w:rFonts w:hint="eastAsia"/>
                <w:lang w:bidi="ar"/>
              </w:rPr>
              <w:t xml:space="preserve"> </w:t>
            </w:r>
            <w:r>
              <w:rPr>
                <w:lang w:bidi="ar"/>
              </w:rPr>
              <w:t>移栽时保护根系，浇透定根水，高温季节遮阳，及时防治病虫害</w:t>
            </w:r>
          </w:p>
          <w:p w14:paraId="060309BD">
            <w:pPr>
              <w:pStyle w:val="178"/>
              <w:jc w:val="both"/>
              <w:rPr>
                <w:lang w:bidi="ar"/>
              </w:rPr>
            </w:pPr>
            <w:r>
              <w:rPr>
                <w:lang w:bidi="ar"/>
              </w:rPr>
              <w:t>3.</w:t>
            </w:r>
            <w:r>
              <w:rPr>
                <w:rFonts w:hint="eastAsia"/>
                <w:lang w:bidi="ar"/>
              </w:rPr>
              <w:t xml:space="preserve"> </w:t>
            </w:r>
            <w:r>
              <w:rPr>
                <w:lang w:bidi="ar"/>
              </w:rPr>
              <w:t>多品种混植，合理密植，土壤消毒，优先采用生物防治</w:t>
            </w:r>
          </w:p>
          <w:p w14:paraId="0950C26C">
            <w:pPr>
              <w:pStyle w:val="178"/>
              <w:jc w:val="both"/>
            </w:pPr>
            <w:r>
              <w:rPr>
                <w:lang w:bidi="ar"/>
              </w:rPr>
              <w:t>4.</w:t>
            </w:r>
            <w:r>
              <w:rPr>
                <w:rFonts w:hint="eastAsia"/>
                <w:lang w:bidi="ar"/>
              </w:rPr>
              <w:t xml:space="preserve"> </w:t>
            </w:r>
            <w:r>
              <w:rPr>
                <w:lang w:bidi="ar"/>
              </w:rPr>
              <w:t>施工前彻底清表，选用纯净度不小于95%的种子，定期人工除草</w:t>
            </w:r>
          </w:p>
        </w:tc>
      </w:tr>
    </w:tbl>
    <w:p w14:paraId="04CA05A7">
      <w:pPr>
        <w:pStyle w:val="56"/>
        <w:ind w:firstLine="420"/>
      </w:pPr>
    </w:p>
    <w:p w14:paraId="57D37C0A">
      <w:r>
        <w:br w:type="page"/>
      </w:r>
    </w:p>
    <w:p w14:paraId="4DB881E2">
      <w:pPr>
        <w:pStyle w:val="76"/>
        <w:spacing w:after="120"/>
      </w:pPr>
      <w:bookmarkStart w:id="79" w:name="_Toc22675"/>
      <w:r>
        <w:br w:type="textWrapping"/>
      </w:r>
      <w:r>
        <w:rPr>
          <w:rFonts w:hint="eastAsia"/>
        </w:rPr>
        <w:t>（资料性）</w:t>
      </w:r>
      <w:r>
        <w:br w:type="textWrapping"/>
      </w:r>
      <w:r>
        <w:rPr>
          <w:rFonts w:hint="eastAsia"/>
        </w:rPr>
        <w:t>不同防治分区植被恢复效果定量检验表</w:t>
      </w:r>
      <w:bookmarkEnd w:id="79"/>
    </w:p>
    <w:p w14:paraId="726D6D4D">
      <w:pPr>
        <w:pStyle w:val="56"/>
        <w:ind w:firstLine="420"/>
        <w:rPr>
          <w:rFonts w:hint="eastAsia"/>
        </w:rPr>
      </w:pPr>
      <w:r>
        <w:rPr>
          <w:rFonts w:hint="eastAsia"/>
        </w:rPr>
        <w:t>不同防治分区植被恢复效果定量</w:t>
      </w:r>
      <w:r>
        <w:rPr>
          <w:rFonts w:hint="eastAsia"/>
          <w:lang w:val="en-US" w:eastAsia="zh-CN"/>
        </w:rPr>
        <w:t>检验</w:t>
      </w:r>
      <w:r>
        <w:rPr>
          <w:rFonts w:hint="eastAsia"/>
        </w:rPr>
        <w:t>要求见表</w:t>
      </w:r>
      <w:r>
        <w:rPr>
          <w:rFonts w:hint="eastAsia"/>
          <w:lang w:val="en-US" w:eastAsia="zh-CN"/>
        </w:rPr>
        <w:t>D</w:t>
      </w:r>
      <w:r>
        <w:rPr>
          <w:rFonts w:hint="eastAsia"/>
        </w:rPr>
        <w:t>.1。</w:t>
      </w:r>
    </w:p>
    <w:p w14:paraId="48CD028A">
      <w:pPr>
        <w:pStyle w:val="77"/>
        <w:numPr>
          <w:ilvl w:val="1"/>
          <w:numId w:val="0"/>
        </w:numPr>
        <w:spacing w:before="120" w:after="120"/>
        <w:rPr>
          <w:rFonts w:hint="default" w:eastAsia="黑体"/>
          <w:lang w:val="en-US" w:eastAsia="zh-CN"/>
        </w:rPr>
      </w:pPr>
      <w:r>
        <w:rPr>
          <w:rFonts w:hint="eastAsia" w:ascii="黑体" w:hAnsi="Times New Roman" w:eastAsia="黑体" w:cs="Times New Roman"/>
          <w:kern w:val="21"/>
          <w:sz w:val="21"/>
          <w:lang w:val="en-US" w:eastAsia="zh-CN" w:bidi="ar-SA"/>
        </w:rPr>
        <w:t>表</w:t>
      </w:r>
      <w:r>
        <w:rPr>
          <w:rFonts w:hint="eastAsia" w:cs="Times New Roman"/>
          <w:kern w:val="21"/>
          <w:sz w:val="21"/>
          <w:lang w:val="en-US" w:eastAsia="zh-CN" w:bidi="ar-SA"/>
        </w:rPr>
        <w:t>D</w:t>
      </w:r>
      <w:r>
        <w:rPr>
          <w:rFonts w:hint="eastAsia" w:ascii="黑体" w:hAnsi="Times New Roman" w:eastAsia="黑体" w:cs="Times New Roman"/>
          <w:kern w:val="21"/>
          <w:sz w:val="21"/>
          <w:lang w:val="en-US" w:eastAsia="zh-CN" w:bidi="ar-SA"/>
        </w:rPr>
        <w:t>.</w:t>
      </w:r>
      <w:r>
        <w:rPr>
          <w:rFonts w:hint="eastAsia" w:cs="Times New Roman"/>
          <w:kern w:val="21"/>
          <w:sz w:val="21"/>
          <w:lang w:val="en-US" w:eastAsia="zh-CN" w:bidi="ar-SA"/>
        </w:rPr>
        <w:t>1</w:t>
      </w:r>
      <w:r>
        <w:rPr>
          <w:rFonts w:hint="eastAsia"/>
        </w:rPr>
        <w:t xml:space="preserve"> 不同防治分区植被恢复效果定量</w:t>
      </w:r>
      <w:r>
        <w:rPr>
          <w:rFonts w:hint="eastAsia"/>
          <w:lang w:val="en-US" w:eastAsia="zh-CN"/>
        </w:rPr>
        <w:t>检验表</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57" w:type="dxa"/>
          <w:left w:w="85" w:type="dxa"/>
          <w:bottom w:w="57" w:type="dxa"/>
          <w:right w:w="85" w:type="dxa"/>
        </w:tblCellMar>
      </w:tblPr>
      <w:tblGrid>
        <w:gridCol w:w="1146"/>
        <w:gridCol w:w="3907"/>
        <w:gridCol w:w="4471"/>
      </w:tblGrid>
      <w:tr w14:paraId="735280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602" w:type="pct"/>
            <w:tcBorders>
              <w:bottom w:val="single" w:color="auto" w:sz="8" w:space="0"/>
            </w:tcBorders>
            <w:shd w:val="clear" w:color="auto" w:fill="auto"/>
            <w:vAlign w:val="center"/>
          </w:tcPr>
          <w:p w14:paraId="5D11F97E">
            <w:pPr>
              <w:pStyle w:val="178"/>
              <w:rPr>
                <w:rFonts w:hint="eastAsia" w:hAnsi="宋体" w:cs="宋体"/>
                <w:szCs w:val="18"/>
              </w:rPr>
            </w:pPr>
            <w:r>
              <w:rPr>
                <w:rFonts w:hint="eastAsia" w:hAnsi="宋体" w:cs="宋体"/>
                <w:szCs w:val="18"/>
              </w:rPr>
              <w:t>防治分区</w:t>
            </w:r>
          </w:p>
        </w:tc>
        <w:tc>
          <w:tcPr>
            <w:tcW w:w="2051" w:type="pct"/>
            <w:tcBorders>
              <w:bottom w:val="single" w:color="auto" w:sz="8" w:space="0"/>
            </w:tcBorders>
            <w:shd w:val="clear" w:color="auto" w:fill="auto"/>
            <w:vAlign w:val="center"/>
          </w:tcPr>
          <w:p w14:paraId="321B16C6">
            <w:pPr>
              <w:pStyle w:val="178"/>
              <w:rPr>
                <w:rFonts w:hint="eastAsia" w:hAnsi="宋体" w:eastAsia="宋体" w:cs="宋体"/>
                <w:szCs w:val="18"/>
                <w:lang w:val="en-US" w:eastAsia="zh-CN"/>
              </w:rPr>
            </w:pPr>
            <w:r>
              <w:rPr>
                <w:rFonts w:hint="eastAsia" w:hAnsi="宋体" w:cs="宋体"/>
                <w:szCs w:val="18"/>
                <w:lang w:val="en-US" w:eastAsia="zh-CN"/>
              </w:rPr>
              <w:t>苗木成活率（%）</w:t>
            </w:r>
          </w:p>
        </w:tc>
        <w:tc>
          <w:tcPr>
            <w:tcW w:w="2347" w:type="pct"/>
            <w:tcBorders>
              <w:bottom w:val="single" w:color="auto" w:sz="8" w:space="0"/>
            </w:tcBorders>
            <w:shd w:val="clear" w:color="auto" w:fill="auto"/>
            <w:vAlign w:val="center"/>
          </w:tcPr>
          <w:p w14:paraId="2635F76B">
            <w:pPr>
              <w:pStyle w:val="178"/>
              <w:rPr>
                <w:rFonts w:hint="eastAsia" w:hAnsi="宋体" w:eastAsia="宋体" w:cs="宋体"/>
                <w:szCs w:val="18"/>
                <w:lang w:val="en-US" w:eastAsia="zh-CN"/>
              </w:rPr>
            </w:pPr>
            <w:r>
              <w:rPr>
                <w:rFonts w:hint="eastAsia" w:hAnsi="宋体" w:cs="宋体"/>
                <w:szCs w:val="18"/>
                <w:lang w:val="en-US" w:eastAsia="zh-CN"/>
              </w:rPr>
              <w:t>植被覆盖率（%）</w:t>
            </w:r>
          </w:p>
        </w:tc>
      </w:tr>
      <w:tr w14:paraId="571EAC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1146" w:type="dxa"/>
            <w:tcBorders>
              <w:top w:val="single" w:color="auto" w:sz="8" w:space="0"/>
              <w:bottom w:val="single" w:color="auto" w:sz="4" w:space="0"/>
            </w:tcBorders>
            <w:shd w:val="clear" w:color="auto" w:fill="auto"/>
            <w:vAlign w:val="center"/>
          </w:tcPr>
          <w:p w14:paraId="2B3BA0D9">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东北黑土区</w:t>
            </w:r>
          </w:p>
        </w:tc>
        <w:tc>
          <w:tcPr>
            <w:tcW w:w="3907" w:type="dxa"/>
            <w:tcBorders>
              <w:top w:val="single" w:color="auto" w:sz="8" w:space="0"/>
              <w:bottom w:val="single" w:color="auto" w:sz="4" w:space="0"/>
            </w:tcBorders>
            <w:shd w:val="clear" w:color="auto" w:fill="auto"/>
            <w:vAlign w:val="center"/>
          </w:tcPr>
          <w:p w14:paraId="5E9DB5A3">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≥85</w:t>
            </w:r>
          </w:p>
        </w:tc>
        <w:tc>
          <w:tcPr>
            <w:tcW w:w="4471" w:type="dxa"/>
            <w:tcBorders>
              <w:top w:val="single" w:color="auto" w:sz="8" w:space="0"/>
              <w:bottom w:val="single" w:color="auto" w:sz="4" w:space="0"/>
            </w:tcBorders>
            <w:shd w:val="clear" w:color="auto" w:fill="auto"/>
            <w:vAlign w:val="center"/>
          </w:tcPr>
          <w:p w14:paraId="7FA121B1">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≥90</w:t>
            </w:r>
          </w:p>
        </w:tc>
      </w:tr>
      <w:tr w14:paraId="104078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1146" w:type="dxa"/>
            <w:tcBorders>
              <w:top w:val="single" w:color="auto" w:sz="4" w:space="0"/>
            </w:tcBorders>
            <w:shd w:val="clear" w:color="auto" w:fill="auto"/>
            <w:vAlign w:val="center"/>
          </w:tcPr>
          <w:p w14:paraId="6C9AFF75">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北方风沙区</w:t>
            </w:r>
          </w:p>
        </w:tc>
        <w:tc>
          <w:tcPr>
            <w:tcW w:w="3907" w:type="dxa"/>
            <w:tcBorders>
              <w:top w:val="single" w:color="auto" w:sz="4" w:space="0"/>
            </w:tcBorders>
            <w:shd w:val="clear" w:color="auto" w:fill="auto"/>
            <w:vAlign w:val="center"/>
          </w:tcPr>
          <w:p w14:paraId="0B39EAAE">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≥70</w:t>
            </w:r>
          </w:p>
        </w:tc>
        <w:tc>
          <w:tcPr>
            <w:tcW w:w="4471" w:type="dxa"/>
            <w:tcBorders>
              <w:top w:val="single" w:color="auto" w:sz="4" w:space="0"/>
            </w:tcBorders>
            <w:shd w:val="clear" w:color="auto" w:fill="auto"/>
            <w:vAlign w:val="center"/>
          </w:tcPr>
          <w:p w14:paraId="02F3A9B9">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≥80</w:t>
            </w:r>
          </w:p>
        </w:tc>
      </w:tr>
      <w:tr w14:paraId="75B9F0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1146" w:type="dxa"/>
            <w:shd w:val="clear" w:color="auto" w:fill="auto"/>
            <w:vAlign w:val="center"/>
          </w:tcPr>
          <w:p w14:paraId="5FE44BCE">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北方土石山区</w:t>
            </w:r>
          </w:p>
        </w:tc>
        <w:tc>
          <w:tcPr>
            <w:tcW w:w="3907" w:type="dxa"/>
            <w:shd w:val="clear" w:color="auto" w:fill="auto"/>
            <w:vAlign w:val="center"/>
          </w:tcPr>
          <w:p w14:paraId="5F081274">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≥85</w:t>
            </w:r>
          </w:p>
        </w:tc>
        <w:tc>
          <w:tcPr>
            <w:tcW w:w="4471" w:type="dxa"/>
            <w:shd w:val="clear" w:color="auto" w:fill="auto"/>
            <w:vAlign w:val="center"/>
          </w:tcPr>
          <w:p w14:paraId="1A084947">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≥90</w:t>
            </w:r>
          </w:p>
        </w:tc>
      </w:tr>
      <w:tr w14:paraId="00612F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1146" w:type="dxa"/>
            <w:shd w:val="clear" w:color="auto" w:fill="auto"/>
            <w:vAlign w:val="center"/>
          </w:tcPr>
          <w:p w14:paraId="15B940AA">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西北黄土高原区</w:t>
            </w:r>
          </w:p>
        </w:tc>
        <w:tc>
          <w:tcPr>
            <w:tcW w:w="3907" w:type="dxa"/>
            <w:shd w:val="clear" w:color="auto" w:fill="auto"/>
            <w:vAlign w:val="center"/>
          </w:tcPr>
          <w:p w14:paraId="0558EAE8">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≥75</w:t>
            </w:r>
          </w:p>
        </w:tc>
        <w:tc>
          <w:tcPr>
            <w:tcW w:w="4471" w:type="dxa"/>
            <w:shd w:val="clear" w:color="auto" w:fill="auto"/>
            <w:vAlign w:val="center"/>
          </w:tcPr>
          <w:p w14:paraId="6DC42DF6">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≥85</w:t>
            </w:r>
          </w:p>
        </w:tc>
      </w:tr>
      <w:tr w14:paraId="5BED68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1146" w:type="dxa"/>
            <w:shd w:val="clear" w:color="auto" w:fill="auto"/>
            <w:vAlign w:val="center"/>
          </w:tcPr>
          <w:p w14:paraId="53B3C923">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南方红壤区</w:t>
            </w:r>
          </w:p>
        </w:tc>
        <w:tc>
          <w:tcPr>
            <w:tcW w:w="3907" w:type="dxa"/>
            <w:shd w:val="clear" w:color="auto" w:fill="auto"/>
            <w:vAlign w:val="center"/>
          </w:tcPr>
          <w:p w14:paraId="6CD4F9F0">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≥90</w:t>
            </w:r>
          </w:p>
        </w:tc>
        <w:tc>
          <w:tcPr>
            <w:tcW w:w="4471" w:type="dxa"/>
            <w:shd w:val="clear" w:color="auto" w:fill="auto"/>
            <w:vAlign w:val="center"/>
          </w:tcPr>
          <w:p w14:paraId="27871826">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≥95</w:t>
            </w:r>
          </w:p>
        </w:tc>
      </w:tr>
      <w:tr w14:paraId="42F7E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1146" w:type="dxa"/>
            <w:shd w:val="clear" w:color="auto" w:fill="auto"/>
            <w:vAlign w:val="center"/>
          </w:tcPr>
          <w:p w14:paraId="61D5DCF2">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西南紫色土区</w:t>
            </w:r>
          </w:p>
        </w:tc>
        <w:tc>
          <w:tcPr>
            <w:tcW w:w="3907" w:type="dxa"/>
            <w:shd w:val="clear" w:color="auto" w:fill="auto"/>
            <w:vAlign w:val="center"/>
          </w:tcPr>
          <w:p w14:paraId="4FD362FD">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≥85</w:t>
            </w:r>
          </w:p>
        </w:tc>
        <w:tc>
          <w:tcPr>
            <w:tcW w:w="4471" w:type="dxa"/>
            <w:shd w:val="clear" w:color="auto" w:fill="auto"/>
            <w:vAlign w:val="center"/>
          </w:tcPr>
          <w:p w14:paraId="76B2C748">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≥90</w:t>
            </w:r>
          </w:p>
        </w:tc>
      </w:tr>
      <w:tr w14:paraId="2FE878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1146" w:type="dxa"/>
            <w:shd w:val="clear" w:color="auto" w:fill="auto"/>
            <w:vAlign w:val="center"/>
          </w:tcPr>
          <w:p w14:paraId="41F7807B">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西南岩溶区</w:t>
            </w:r>
          </w:p>
        </w:tc>
        <w:tc>
          <w:tcPr>
            <w:tcW w:w="3907" w:type="dxa"/>
            <w:shd w:val="clear" w:color="auto" w:fill="auto"/>
            <w:vAlign w:val="center"/>
          </w:tcPr>
          <w:p w14:paraId="472FCE2A">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≥80</w:t>
            </w:r>
          </w:p>
        </w:tc>
        <w:tc>
          <w:tcPr>
            <w:tcW w:w="4471" w:type="dxa"/>
            <w:shd w:val="clear" w:color="auto" w:fill="auto"/>
            <w:vAlign w:val="center"/>
          </w:tcPr>
          <w:p w14:paraId="785AA636">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≥85</w:t>
            </w:r>
          </w:p>
        </w:tc>
      </w:tr>
      <w:tr w14:paraId="35FB7A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85" w:type="dxa"/>
            <w:bottom w:w="57" w:type="dxa"/>
            <w:right w:w="85" w:type="dxa"/>
          </w:tblCellMar>
        </w:tblPrEx>
        <w:trPr>
          <w:trHeight w:val="397" w:hRule="atLeast"/>
          <w:jc w:val="center"/>
        </w:trPr>
        <w:tc>
          <w:tcPr>
            <w:tcW w:w="1146" w:type="dxa"/>
            <w:shd w:val="clear" w:color="auto" w:fill="auto"/>
            <w:vAlign w:val="center"/>
          </w:tcPr>
          <w:p w14:paraId="6E7D1448">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青藏高原区</w:t>
            </w:r>
          </w:p>
        </w:tc>
        <w:tc>
          <w:tcPr>
            <w:tcW w:w="3907" w:type="dxa"/>
            <w:shd w:val="clear" w:color="auto" w:fill="auto"/>
            <w:vAlign w:val="center"/>
          </w:tcPr>
          <w:p w14:paraId="40107F6A">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≥65</w:t>
            </w:r>
          </w:p>
        </w:tc>
        <w:tc>
          <w:tcPr>
            <w:tcW w:w="4471" w:type="dxa"/>
            <w:shd w:val="clear" w:color="auto" w:fill="auto"/>
            <w:vAlign w:val="center"/>
          </w:tcPr>
          <w:p w14:paraId="6071B57F">
            <w:pPr>
              <w:keepNext w:val="0"/>
              <w:keepLines w:val="0"/>
              <w:widowControl/>
              <w:suppressLineNumbers w:val="0"/>
              <w:spacing w:line="250" w:lineRule="atLeast"/>
              <w:jc w:val="center"/>
              <w:rPr>
                <w:rFonts w:hint="eastAsia" w:ascii="宋体" w:hAnsi="宋体" w:cs="宋体"/>
                <w:sz w:val="18"/>
                <w:szCs w:val="18"/>
              </w:rPr>
            </w:pPr>
            <w:r>
              <w:rPr>
                <w:rFonts w:hint="eastAsia" w:ascii="宋体" w:hAnsi="宋体" w:eastAsia="宋体" w:cs="宋体"/>
                <w:i w:val="0"/>
                <w:iCs w:val="0"/>
                <w:caps w:val="0"/>
                <w:color w:val="0F1115"/>
                <w:spacing w:val="0"/>
                <w:kern w:val="0"/>
                <w:sz w:val="18"/>
                <w:szCs w:val="18"/>
                <w:lang w:val="en-US" w:eastAsia="zh-CN" w:bidi="ar"/>
              </w:rPr>
              <w:t>≥75</w:t>
            </w:r>
          </w:p>
        </w:tc>
      </w:tr>
    </w:tbl>
    <w:p w14:paraId="394AEB29">
      <w:pPr>
        <w:pStyle w:val="56"/>
        <w:ind w:firstLine="0" w:firstLineChars="0"/>
      </w:pPr>
    </w:p>
    <w:bookmarkEnd w:id="68"/>
    <w:p w14:paraId="7C2D6571">
      <w:pPr>
        <w:pStyle w:val="56"/>
        <w:ind w:firstLine="0" w:firstLineChars="0"/>
      </w:pPr>
      <w:bookmarkStart w:id="80" w:name="BookMark8"/>
    </w:p>
    <w:p w14:paraId="40B43C7A">
      <w:pPr>
        <w:pStyle w:val="56"/>
        <w:ind w:firstLine="0" w:firstLineChars="0"/>
        <w:jc w:val="center"/>
      </w:pPr>
      <w:r>
        <w:drawing>
          <wp:inline distT="0" distB="0" distL="0" distR="0">
            <wp:extent cx="1485900" cy="31750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3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0"/>
    </w:p>
    <w:p w14:paraId="2FBD1AC9">
      <w:pPr>
        <w:pStyle w:val="56"/>
        <w:ind w:firstLine="0" w:firstLineChars="0"/>
        <w:jc w:val="center"/>
      </w:pPr>
    </w:p>
    <w:p w14:paraId="17C69620">
      <w:pPr>
        <w:pStyle w:val="56"/>
        <w:bidi w:val="0"/>
      </w:pPr>
    </w:p>
    <w:sectPr>
      <w:headerReference r:id="rId29" w:type="default"/>
      <w:footerReference r:id="rId31" w:type="default"/>
      <w:headerReference r:id="rId30" w:type="even"/>
      <w:footerReference r:id="rId32" w:type="even"/>
      <w:pgSz w:w="11906" w:h="16838"/>
      <w:pgMar w:top="1928" w:right="1134" w:bottom="1134" w:left="1134" w:header="1418" w:footer="1134" w:gutter="284"/>
      <w:pgNumType w:fmt="decimal"/>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1954E">
    <w:pPr>
      <w:pStyle w:val="17"/>
    </w:pPr>
    <w:r>
      <w:fldChar w:fldCharType="begin"/>
    </w:r>
    <w:r>
      <w:instrText xml:space="preserve">PAGE   \* MERGEFORMAT</w:instrText>
    </w:r>
    <w:r>
      <w:fldChar w:fldCharType="separate"/>
    </w:r>
    <w:r>
      <w:rPr>
        <w:lang w:val="zh-CN"/>
      </w:rPr>
      <w:t>16</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11AB3">
    <w:pPr>
      <w:pStyle w:val="51"/>
    </w:pPr>
    <w:r>
      <w:fldChar w:fldCharType="begin"/>
    </w:r>
    <w:r>
      <w:instrText xml:space="preserve"> PAGE   \* MERGEFORMAT \* MERGEFORMAT </w:instrText>
    </w:r>
    <w:r>
      <w:fldChar w:fldCharType="separate"/>
    </w:r>
    <w:r>
      <w:t>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C0F97">
    <w:pPr>
      <w:pStyle w:val="52"/>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D2CEA99">
                          <w:pPr>
                            <w:pStyle w:val="52"/>
                          </w:pPr>
                          <w:r>
                            <w:fldChar w:fldCharType="begin"/>
                          </w:r>
                          <w:r>
                            <w:instrText xml:space="preserve">PAGE   \* MERGEFORMAT</w:instrText>
                          </w:r>
                          <w:r>
                            <w:fldChar w:fldCharType="separate"/>
                          </w:r>
                          <w:r>
                            <w:rPr>
                              <w:lang w:val="zh-CN"/>
                            </w:rP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4D2CEA99">
                    <w:pPr>
                      <w:pStyle w:val="52"/>
                    </w:pPr>
                    <w:r>
                      <w:fldChar w:fldCharType="begin"/>
                    </w:r>
                    <w:r>
                      <w:instrText xml:space="preserve">PAGE   \* MERGEFORMAT</w:instrText>
                    </w:r>
                    <w:r>
                      <w:fldChar w:fldCharType="separate"/>
                    </w:r>
                    <w:r>
                      <w:rPr>
                        <w:lang w:val="zh-CN"/>
                      </w:rPr>
                      <w:t>5</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A040F">
    <w:pPr>
      <w:pStyle w:val="51"/>
    </w:pPr>
    <w:r>
      <w:fldChar w:fldCharType="begin"/>
    </w:r>
    <w:r>
      <w:instrText xml:space="preserve"> PAGE   \* MERGEFORMAT \* MERGEFORMAT </w:instrText>
    </w:r>
    <w:r>
      <w:fldChar w:fldCharType="separate"/>
    </w:r>
    <w:r>
      <w:t>10</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4EA8F">
    <w:pPr>
      <w:pStyle w:val="52"/>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D4C5CD6">
                          <w:pPr>
                            <w:pStyle w:val="52"/>
                          </w:pPr>
                          <w:r>
                            <w:fldChar w:fldCharType="begin"/>
                          </w:r>
                          <w:r>
                            <w:instrText xml:space="preserve">PAGE   \* MERGEFORMAT</w:instrText>
                          </w:r>
                          <w:r>
                            <w:fldChar w:fldCharType="separate"/>
                          </w:r>
                          <w:r>
                            <w:rPr>
                              <w:lang w:val="zh-CN"/>
                            </w:rP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1D4C5CD6">
                    <w:pPr>
                      <w:pStyle w:val="52"/>
                    </w:pPr>
                    <w:r>
                      <w:fldChar w:fldCharType="begin"/>
                    </w:r>
                    <w:r>
                      <w:instrText xml:space="preserve">PAGE   \* MERGEFORMAT</w:instrText>
                    </w:r>
                    <w:r>
                      <w:fldChar w:fldCharType="separate"/>
                    </w:r>
                    <w:r>
                      <w:rPr>
                        <w:lang w:val="zh-CN"/>
                      </w:rPr>
                      <w:t>22</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49A25">
    <w:pPr>
      <w:pStyle w:val="17"/>
    </w:pPr>
    <w:r>
      <w:fldChar w:fldCharType="begin"/>
    </w:r>
    <w:r>
      <w:instrText xml:space="preserve">PAGE   \* MERGEFORMAT</w:instrText>
    </w:r>
    <w:r>
      <w:fldChar w:fldCharType="separate"/>
    </w:r>
    <w:r>
      <w:rPr>
        <w:lang w:val="zh-CN"/>
      </w:rPr>
      <w:t>20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AFFD5">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A52E8">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99D61">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BA56E">
    <w:pPr>
      <w:pStyle w:val="52"/>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C61B7">
    <w:pPr>
      <w:pStyle w:val="5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E5DA2">
    <w:pPr>
      <w:pStyle w:val="5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31DE2CE">
                          <w:pPr>
                            <w:pStyle w:val="52"/>
                          </w:pPr>
                          <w:r>
                            <w:fldChar w:fldCharType="begin"/>
                          </w:r>
                          <w:r>
                            <w:instrText xml:space="preserve">PAGE   \* MERGEFORMAT</w:instrText>
                          </w:r>
                          <w:r>
                            <w:fldChar w:fldCharType="separate"/>
                          </w:r>
                          <w:r>
                            <w:rPr>
                              <w:lang w:val="zh-CN"/>
                            </w:rP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31DE2CE">
                    <w:pPr>
                      <w:pStyle w:val="52"/>
                    </w:pPr>
                    <w:r>
                      <w:fldChar w:fldCharType="begin"/>
                    </w:r>
                    <w:r>
                      <w:instrText xml:space="preserve">PAGE   \* MERGEFORMAT</w:instrText>
                    </w:r>
                    <w:r>
                      <w:fldChar w:fldCharType="separate"/>
                    </w:r>
                    <w:r>
                      <w:rPr>
                        <w:lang w:val="zh-CN"/>
                      </w:rPr>
                      <w:t>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9B872">
    <w:pPr>
      <w:pStyle w:val="51"/>
    </w:pPr>
    <w:r>
      <w:fldChar w:fldCharType="begin"/>
    </w:r>
    <w:r>
      <w:instrText xml:space="preserve"> PAGE   \* MERGEFORMAT \* MERGEFORMAT </w:instrText>
    </w:r>
    <w:r>
      <w:fldChar w:fldCharType="separate"/>
    </w:r>
    <w: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8E71E">
    <w:pPr>
      <w:pStyle w:val="5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B8E211C">
                          <w:pPr>
                            <w:pStyle w:val="52"/>
                          </w:pPr>
                          <w:r>
                            <w:fldChar w:fldCharType="begin"/>
                          </w:r>
                          <w:r>
                            <w:instrText xml:space="preserve">PAGE   \* MERGEFORMAT</w:instrText>
                          </w:r>
                          <w:r>
                            <w:fldChar w:fldCharType="separate"/>
                          </w:r>
                          <w:r>
                            <w:rPr>
                              <w:lang w:val="zh-CN"/>
                            </w:rP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7B8E211C">
                    <w:pPr>
                      <w:pStyle w:val="52"/>
                    </w:pPr>
                    <w:r>
                      <w:fldChar w:fldCharType="begin"/>
                    </w:r>
                    <w:r>
                      <w:instrText xml:space="preserve">PAGE   \* MERGEFORMAT</w:instrText>
                    </w:r>
                    <w:r>
                      <w:fldChar w:fldCharType="separate"/>
                    </w:r>
                    <w:r>
                      <w:rPr>
                        <w:lang w:val="zh-CN"/>
                      </w:rPr>
                      <w:t>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2907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62D81">
    <w:pPr>
      <w:pStyle w:val="62"/>
    </w:pPr>
    <w:r>
      <w:fldChar w:fldCharType="begin"/>
    </w:r>
    <w:r>
      <w:instrText xml:space="preserve"> STYLEREF  标准文件_文件编号 \* MERGEFORMAT </w:instrText>
    </w:r>
    <w:r>
      <w:fldChar w:fldCharType="separate"/>
    </w:r>
    <w:r>
      <w:t>T/CEPCA XXXX—2025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5A340">
    <w:pPr>
      <w:pStyle w:val="61"/>
    </w:pPr>
    <w:r>
      <w:fldChar w:fldCharType="begin"/>
    </w:r>
    <w:r>
      <w:instrText xml:space="preserve"> STYLEREF  标准文件_文件编号  \* MERGEFORMAT </w:instrText>
    </w:r>
    <w:r>
      <w:fldChar w:fldCharType="separate"/>
    </w:r>
    <w:r>
      <w:t>T/CEPCA XXXX—2025</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8AD6C">
    <w:pPr>
      <w:pStyle w:val="62"/>
    </w:pPr>
    <w:r>
      <w:fldChar w:fldCharType="begin"/>
    </w:r>
    <w:r>
      <w:instrText xml:space="preserve"> STYLEREF  标准文件_文件编号 \* MERGEFORMAT </w:instrText>
    </w:r>
    <w:r>
      <w:fldChar w:fldCharType="separate"/>
    </w:r>
    <w:r>
      <w:t>T/CEPCA XXXX—2025</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C3AAB">
    <w:pPr>
      <w:pStyle w:val="61"/>
    </w:pPr>
    <w:r>
      <w:fldChar w:fldCharType="begin"/>
    </w:r>
    <w:r>
      <w:instrText xml:space="preserve"> STYLEREF  标准文件_文件编号  \* MERGEFORMAT </w:instrText>
    </w:r>
    <w:r>
      <w:fldChar w:fldCharType="separate"/>
    </w:r>
    <w:r>
      <w:t>T/CEPCA XXXX—2025</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E0F8F">
    <w:pPr>
      <w:pStyle w:val="18"/>
      <w:jc w:val="right"/>
    </w:pPr>
    <w:r>
      <w:fldChar w:fldCharType="begin"/>
    </w:r>
    <w:r>
      <w:instrText xml:space="preserve"> STYLEREF  标准文件_文件编号  \* MERGEFORMAT </w:instrText>
    </w:r>
    <w:r>
      <w:fldChar w:fldCharType="separate"/>
    </w:r>
    <w:r>
      <w:t>T/CEPCA XXXX—2025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4DD14">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36165">
    <w:pPr>
      <w:pStyle w:val="61"/>
    </w:pPr>
    <w:r>
      <w:fldChar w:fldCharType="begin"/>
    </w:r>
    <w:r>
      <w:instrText xml:space="preserve"> STYLEREF  标准文件_文件编号  \* MERGEFORMAT </w:instrText>
    </w:r>
    <w:r>
      <w:fldChar w:fldCharType="separate"/>
    </w:r>
    <w:r>
      <w:t>T/CEPCA XXXX—2025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2DA3">
    <w:pPr>
      <w:pStyle w:val="62"/>
    </w:pPr>
    <w:r>
      <w:fldChar w:fldCharType="begin"/>
    </w:r>
    <w:r>
      <w:instrText xml:space="preserve"> STYLEREF  标准文件_文件编号 \* MERGEFORMAT </w:instrText>
    </w:r>
    <w:r>
      <w:fldChar w:fldCharType="separate"/>
    </w:r>
    <w:r>
      <w:t>T/CEPCA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F79BC">
    <w:pPr>
      <w:pStyle w:val="61"/>
    </w:pPr>
    <w:r>
      <w:fldChar w:fldCharType="begin"/>
    </w:r>
    <w:r>
      <w:instrText xml:space="preserve"> STYLEREF  标准文件_文件编号  \* MERGEFORMAT </w:instrText>
    </w:r>
    <w:r>
      <w:fldChar w:fldCharType="separate"/>
    </w:r>
    <w:r>
      <w:t>T/CEPCA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418FE">
    <w:pPr>
      <w:pStyle w:val="62"/>
    </w:pPr>
    <w:r>
      <w:fldChar w:fldCharType="begin"/>
    </w:r>
    <w:r>
      <w:instrText xml:space="preserve"> STYLEREF  标准文件_文件编号 \* MERGEFORMAT </w:instrText>
    </w:r>
    <w:r>
      <w:fldChar w:fldCharType="separate"/>
    </w:r>
    <w:r>
      <w:t>T/CEPCA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AF753">
    <w:pPr>
      <w:pStyle w:val="61"/>
    </w:pPr>
    <w:r>
      <w:fldChar w:fldCharType="begin"/>
    </w:r>
    <w:r>
      <w:instrText xml:space="preserve"> STYLEREF  标准文件_文件编号  \* MERGEFORMAT </w:instrText>
    </w:r>
    <w:r>
      <w:fldChar w:fldCharType="separate"/>
    </w:r>
    <w:r>
      <w:t>T/CEPCA XXXX—2025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1E193">
    <w:pPr>
      <w:pStyle w:val="62"/>
    </w:pPr>
    <w:r>
      <w:fldChar w:fldCharType="begin"/>
    </w:r>
    <w:r>
      <w:instrText xml:space="preserve"> STYLEREF  标准文件_文件编号 \* MERGEFORMAT </w:instrText>
    </w:r>
    <w:r>
      <w:fldChar w:fldCharType="separate"/>
    </w:r>
    <w:r>
      <w:t>T/CEPCA XXXX—2025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8D5DE">
    <w:pPr>
      <w:pStyle w:val="61"/>
    </w:pPr>
    <w:r>
      <w:fldChar w:fldCharType="begin"/>
    </w:r>
    <w:r>
      <w:instrText xml:space="preserve"> STYLEREF  标准文件_文件编号  \* MERGEFORMAT </w:instrText>
    </w:r>
    <w:r>
      <w:fldChar w:fldCharType="separate"/>
    </w:r>
    <w:r>
      <w:t>T/CEPCA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2F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7F6"/>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58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488"/>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556"/>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46B"/>
    <w:rsid w:val="002B7F51"/>
    <w:rsid w:val="002C09E7"/>
    <w:rsid w:val="002C1E06"/>
    <w:rsid w:val="002C3F07"/>
    <w:rsid w:val="002C5278"/>
    <w:rsid w:val="002C7EBB"/>
    <w:rsid w:val="002D06C1"/>
    <w:rsid w:val="002D42B5"/>
    <w:rsid w:val="002D4F1A"/>
    <w:rsid w:val="002D6EC6"/>
    <w:rsid w:val="002D79AC"/>
    <w:rsid w:val="002E039D"/>
    <w:rsid w:val="002E4D5A"/>
    <w:rsid w:val="002E62C8"/>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8B9"/>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837"/>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FC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4FB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DA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4E"/>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CA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5497"/>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035"/>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B6A"/>
    <w:rsid w:val="00A36DD1"/>
    <w:rsid w:val="00A4006C"/>
    <w:rsid w:val="00A40091"/>
    <w:rsid w:val="00A4030F"/>
    <w:rsid w:val="00A41C79"/>
    <w:rsid w:val="00A41CB5"/>
    <w:rsid w:val="00A42CDF"/>
    <w:rsid w:val="00A4452E"/>
    <w:rsid w:val="00A4472C"/>
    <w:rsid w:val="00A44E69"/>
    <w:rsid w:val="00A4661E"/>
    <w:rsid w:val="00A51EF4"/>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D75"/>
    <w:rsid w:val="00BA7C9A"/>
    <w:rsid w:val="00BB5F8F"/>
    <w:rsid w:val="00BB657A"/>
    <w:rsid w:val="00BC1A4E"/>
    <w:rsid w:val="00BC5DC7"/>
    <w:rsid w:val="00BC6B8B"/>
    <w:rsid w:val="00BC73D8"/>
    <w:rsid w:val="00BD52D7"/>
    <w:rsid w:val="00BD5AD2"/>
    <w:rsid w:val="00BE22F3"/>
    <w:rsid w:val="00BE5B52"/>
    <w:rsid w:val="00BE7B8D"/>
    <w:rsid w:val="00BF02F5"/>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671"/>
    <w:rsid w:val="00C80CB8"/>
    <w:rsid w:val="00C819F8"/>
    <w:rsid w:val="00C8248C"/>
    <w:rsid w:val="00C84E33"/>
    <w:rsid w:val="00C86D6F"/>
    <w:rsid w:val="00C905FC"/>
    <w:rsid w:val="00C92A0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6FCD"/>
    <w:rsid w:val="00CF7BCA"/>
    <w:rsid w:val="00D008FD"/>
    <w:rsid w:val="00D0321C"/>
    <w:rsid w:val="00D035EC"/>
    <w:rsid w:val="00D06AB1"/>
    <w:rsid w:val="00D06FC1"/>
    <w:rsid w:val="00D072ED"/>
    <w:rsid w:val="00D0767C"/>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931"/>
    <w:rsid w:val="00D72A9C"/>
    <w:rsid w:val="00D77031"/>
    <w:rsid w:val="00D84941"/>
    <w:rsid w:val="00D84FA1"/>
    <w:rsid w:val="00D851F0"/>
    <w:rsid w:val="00D86DB7"/>
    <w:rsid w:val="00D87BF5"/>
    <w:rsid w:val="00D90721"/>
    <w:rsid w:val="00D926D0"/>
    <w:rsid w:val="00D93030"/>
    <w:rsid w:val="00D935AE"/>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0493"/>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30DE"/>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AE4C0B"/>
    <w:rsid w:val="2E5F5403"/>
    <w:rsid w:val="3801002A"/>
    <w:rsid w:val="452F08F1"/>
    <w:rsid w:val="4B4426CD"/>
    <w:rsid w:val="7DBA6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4"/>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3 Char"/>
    <w:link w:val="4"/>
    <w:qFormat/>
    <w:uiPriority w:val="0"/>
    <w:rPr>
      <w:b/>
      <w:bCs/>
      <w:kern w:val="2"/>
      <w:sz w:val="32"/>
      <w:szCs w:val="32"/>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glossaryDocument" Target="glossary/document.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customXml" Target="../customXml/item3.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jpeg"/><Relationship Id="rId34" Type="http://schemas.openxmlformats.org/officeDocument/2006/relationships/image" Target="media/image1.jpeg"/><Relationship Id="rId33" Type="http://schemas.openxmlformats.org/officeDocument/2006/relationships/theme" Target="theme/theme1.xml"/><Relationship Id="rId32" Type="http://schemas.openxmlformats.org/officeDocument/2006/relationships/footer" Target="footer14.xml"/><Relationship Id="rId31" Type="http://schemas.openxmlformats.org/officeDocument/2006/relationships/footer" Target="footer13.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65c1272-81ad-44fb-9508-0e2e67b35e30}"/>
        <w:style w:val=""/>
        <w:category>
          <w:name w:val="常规"/>
          <w:gallery w:val="placeholder"/>
        </w:category>
        <w:types>
          <w:type w:val="bbPlcHdr"/>
        </w:types>
        <w:behaviors>
          <w:behavior w:val="content"/>
        </w:behaviors>
        <w:description w:val=""/>
        <w:guid w:val="{e65c1272-81ad-44fb-9508-0e2e67b35e30}"/>
      </w:docPartPr>
      <w:docPartBody>
        <w:p w14:paraId="6D4391AD">
          <w:pPr>
            <w:pStyle w:val="8"/>
          </w:pPr>
          <w:r>
            <w:rPr>
              <w:rStyle w:val="4"/>
              <w:rFonts w:hint="eastAsia"/>
            </w:rPr>
            <w:t>单击或点击此处输入文字。</w:t>
          </w:r>
        </w:p>
      </w:docPartBody>
    </w:docPart>
    <w:docPart>
      <w:docPartPr>
        <w:name w:val="{78855acf-ddbb-456b-ac2f-b7a722389928}"/>
        <w:style w:val=""/>
        <w:category>
          <w:name w:val="常规"/>
          <w:gallery w:val="placeholder"/>
        </w:category>
        <w:types>
          <w:type w:val="bbPlcHdr"/>
        </w:types>
        <w:behaviors>
          <w:behavior w:val="content"/>
        </w:behaviors>
        <w:description w:val=""/>
        <w:guid w:val="{78855acf-ddbb-456b-ac2f-b7a722389928}"/>
      </w:docPartPr>
      <w:docPartBody>
        <w:p w14:paraId="54F0C844">
          <w:pPr>
            <w:pStyle w:val="9"/>
          </w:pPr>
          <w:r>
            <w:rPr>
              <w:rStyle w:val="4"/>
              <w:rFonts w:hint="eastAsia"/>
            </w:rPr>
            <w:t>选择一项。</w:t>
          </w:r>
        </w:p>
      </w:docPartBody>
    </w:docPart>
    <w:docPart>
      <w:docPartPr>
        <w:name w:val="{da6857db-9d36-4869-a325-b6841cfd9d04}"/>
        <w:style w:val=""/>
        <w:category>
          <w:name w:val="常规"/>
          <w:gallery w:val="placeholder"/>
        </w:category>
        <w:types>
          <w:type w:val="bbPlcHdr"/>
        </w:types>
        <w:behaviors>
          <w:behavior w:val="content"/>
        </w:behaviors>
        <w:description w:val=""/>
        <w:guid w:val="{da6857db-9d36-4869-a325-b6841cfd9d04}"/>
      </w:docPartPr>
      <w:docPartBody>
        <w:p w14:paraId="3A73C6DD">
          <w:pPr>
            <w:pStyle w:val="10"/>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B36"/>
    <w:rsid w:val="00313B36"/>
    <w:rsid w:val="008E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5973E4E77D58426CA22153ABCD81CF5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E2248B248B84D0DBE4F3700CD0FF82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F86F553DE1D4B6B8D1F89B8289FF4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40BAD1D096DA435C958A3CC3CE42E1D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5FE49046297C4A68A6C5EFDE3F02774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82FAD4B12AFB42FD997383B282BB9FD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d4995b1f-e63b-41c8-a93d-e527c586cab9</errorID>
      <errorWord>  </errorWord>
      <group>L1_Format</group>
      <groupName>格式问题</groupName>
      <ability>L2_Whitespace</ability>
      <abilityName>空白字符</abilityName>
      <candidateList>
        <item/>
      </candidateList>
      <explain>文本间存在多余的空白字符。</explain>
      <paraID>78213F66</paraID>
      <start>3</start>
      <end>5</end>
      <status>unmodified</status>
      <modifiedWord/>
      <trackRevisions>false</trackRevisions>
    </reviewItem>
    <reviewItem>
      <errorID>b51d048a-95c3-4fc2-9517-14e5cb1ec5f6</errorID>
      <errorWord>  </errorWord>
      <group>L1_Format</group>
      <groupName>格式问题</groupName>
      <ability>L2_Whitespace</ability>
      <abilityName>空白字符</abilityName>
      <candidateList>
        <item/>
      </candidateList>
      <explain>文本间存在多余的空白字符。</explain>
      <paraID>74AC8C82</paraID>
      <start>3</start>
      <end>5</end>
      <status>unmodified</status>
      <modifiedWord/>
      <trackRevisions>false</trackRevisions>
    </reviewItem>
    <reviewItem>
      <errorID>94c3e7e8-8fd1-4e9b-8323-6e31396d3d12</errorID>
      <errorWord>  </errorWord>
      <group>L1_Format</group>
      <groupName>格式问题</groupName>
      <ability>L2_Whitespace</ability>
      <abilityName>空白字符</abilityName>
      <candidateList>
        <item/>
      </candidateList>
      <explain>文本间存在多余的空白字符。</explain>
      <paraID>5E0C8BD7</paraID>
      <start>26</start>
      <end>28</end>
      <status>unmodified</status>
      <modifiedWord/>
      <trackRevisions>false</trackRevisions>
    </reviewItem>
    <reviewItem>
      <errorID/>
      <errorWord>变电工程抗台风设计技术规程
</errorWord>
      <group>L1_Other</group>
      <groupName>其他问题</groupName>
      <ability>L2_RepeatSentence</ability>
      <abilityName>重句检查</abilityName>
      <candidateList>
        <item/>
      </candidateList>
      <explain>重句检查</explain>
      <paraID>40B38D02</paraID>
      <start>0</start>
      <end>16</end>
      <status>unmodified</status>
      <modifiedWord/>
      <trackRevisions>false</trackRevisions>
    </reviewItem>
    <reviewItem>
      <errorID>af0e2ccd-38a8-44e7-a475-aeec73c39b92</errorID>
      <errorWord>刚架</errorWord>
      <group>L1_Word</group>
      <groupName>字词问题</groupName>
      <ability>L2_Typo</ability>
      <abilityName>字词错误</abilityName>
      <candidateList>
        <item>钢架</item>
      </candidateList>
      <explain/>
      <paraID>4B6E6FA3</paraID>
      <start>11</start>
      <end>13</end>
      <status>unmodified</status>
      <modifiedWord/>
      <trackRevisions>false</trackRevisions>
    </reviewItem>
    <reviewItem>
      <errorID>9273b7b4-8704-4218-a192-fcc50f315920</errorID>
      <errorWord> </errorWord>
      <group>L1_Format</group>
      <groupName>格式问题</groupName>
      <ability>L2_Whitespace</ability>
      <abilityName>空白字符</abilityName>
      <candidateList>
        <item/>
      </candidateList>
      <explain>文本间存在多余的空白字符。</explain>
      <paraID>4BC3E304</paraID>
      <start>16</start>
      <end>17</end>
      <status>unmodified</status>
      <modifiedWord/>
      <trackRevisions>false</trackRevisions>
    </reviewItem>
    <reviewItem>
      <errorID>905348ab-3b12-4b52-b232-24ed5bc24a2a</errorID>
      <errorWord> </errorWord>
      <group>L1_Format</group>
      <groupName>格式问题</groupName>
      <ability>L2_Whitespace</ability>
      <abilityName>空白字符</abilityName>
      <candidateList>
        <item/>
      </candidateList>
      <explain>文本间存在多余的空白字符。</explain>
      <paraID>602C17B9</paraID>
      <start>20</start>
      <end>21</end>
      <status>unmodified</status>
      <modifiedWord/>
      <trackRevisions>false</trackRevisions>
    </reviewItem>
    <reviewItem>
      <errorID>95ad6d6b-5be4-45fe-b2d4-67a374f397ad</errorID>
      <errorWord> </errorWord>
      <group>L1_Format</group>
      <groupName>格式问题</groupName>
      <ability>L2_Whitespace</ability>
      <abilityName>空白字符</abilityName>
      <candidateList>
        <item/>
      </candidateList>
      <explain>文本间存在多余的空白字符。</explain>
      <paraID> 67937C5</paraID>
      <start>23</start>
      <end>24</end>
      <status>unmodified</status>
      <modifiedWord/>
      <trackRevisions>false</trackRevisions>
    </reviewItem>
    <reviewItem>
      <errorID>718b689a-8b12-4d5e-b6dc-deb452708def</errorID>
      <errorWord> </errorWord>
      <group>L1_Format</group>
      <groupName>格式问题</groupName>
      <ability>L2_Whitespace</ability>
      <abilityName>空白字符</abilityName>
      <candidateList>
        <item/>
      </candidateList>
      <explain>文本间存在多余的空白字符。</explain>
      <paraID>6764982E</paraID>
      <start>6</start>
      <end>7</end>
      <status>unmodified</status>
      <modifiedWord/>
      <trackRevisions>false</trackRevisions>
    </reviewItem>
    <reviewItem>
      <errorID>4a16f5f6-62cb-4c80-91e0-fda9a2949faf</errorID>
      <errorWord> </errorWord>
      <group>L1_Format</group>
      <groupName>格式问题</groupName>
      <ability>L2_Whitespace</ability>
      <abilityName>空白字符</abilityName>
      <candidateList>
        <item/>
      </candidateList>
      <explain>文本间存在多余的空白字符。</explain>
      <paraID>41D8794A</paraID>
      <start>4</start>
      <end>5</end>
      <status>unmodified</status>
      <modifiedWord/>
      <trackRevisions>false</trackRevisions>
    </reviewItem>
    <reviewItem>
      <errorID>5cc5298e-651b-46f5-b2d6-bc25c623f5fe</errorID>
      <errorWord> </errorWord>
      <group>L1_Format</group>
      <groupName>格式问题</groupName>
      <ability>L2_Whitespace</ability>
      <abilityName>空白字符</abilityName>
      <candidateList>
        <item/>
      </candidateList>
      <explain>文本间存在多余的空白字符。</explain>
      <paraID>3259E684</paraID>
      <start>2</start>
      <end>3</end>
      <status>unmodified</status>
      <modifiedWord/>
      <trackRevisions>false</trackRevisions>
    </reviewItem>
    <reviewItem>
      <errorID/>
      <errorWord>GB/T19201-2006，</errorWord>
      <group>L1_Other</group>
      <groupName>其他问题</groupName>
      <ability>L2_RepeatSentence</ability>
      <abilityName>重句检查</abilityName>
      <candidateList>
        <item/>
      </candidateList>
      <explain>重句检查</explain>
      <paraID>43B7DC2B</paraID>
      <start>4</start>
      <end>19</end>
      <status>unmodified</status>
      <modifiedWord/>
      <trackRevisions>false</trackRevisions>
    </reviewItem>
    <reviewItem>
      <errorID>48421a5f-25aa-43c3-a25b-0c3c3717e4d8</errorID>
      <errorWord> </errorWord>
      <group>L1_Format</group>
      <groupName>格式问题</groupName>
      <ability>L2_Whitespace</ability>
      <abilityName>空白字符</abilityName>
      <candidateList>
        <item/>
      </candidateList>
      <explain>文本间存在多余的空白字符。</explain>
      <paraID>7C704837</paraID>
      <start>4</start>
      <end>5</end>
      <status>unmodified</status>
      <modifiedWord/>
      <trackRevisions>false</trackRevisions>
    </reviewItem>
    <reviewItem>
      <errorID>5e0da2ee-7649-44c4-9594-9edb7e1c1664</errorID>
      <errorWord> </errorWord>
      <group>L1_Format</group>
      <groupName>格式问题</groupName>
      <ability>L2_Whitespace</ability>
      <abilityName>空白字符</abilityName>
      <candidateList>
        <item/>
      </candidateList>
      <explain>文本间存在多余的空白字符。</explain>
      <paraID> 99EA8D1</paraID>
      <start>4</start>
      <end>5</end>
      <status>unmodified</status>
      <modifiedWord/>
      <trackRevisions>false</trackRevisions>
    </reviewItem>
    <reviewItem>
      <errorID/>
      <errorWord>底层中心附近最大平均风速32.</errorWord>
      <group>L1_Other</group>
      <groupName>其他问题</groupName>
      <ability>L2_RepeatSentence</ability>
      <abilityName>重句检查</abilityName>
      <candidateList>
        <item/>
      </candidateList>
      <explain>重句检查</explain>
      <paraID>260FD90C</paraID>
      <start>0</start>
      <end>15</end>
      <status>unmodified</status>
      <modifiedWord/>
      <trackRevisions>false</trackRevisions>
    </reviewItem>
    <reviewItem>
      <errorID/>
      <errorWord>7m/s及以上的热带气旋，</errorWord>
      <group>L1_Other</group>
      <groupName>其他问题</groupName>
      <ability>L2_RepeatSentence</ability>
      <abilityName>重句检查</abilityName>
      <candidateList>
        <item/>
      </candidateList>
      <explain>重句检查</explain>
      <paraID>260FD90C</paraID>
      <start>15</start>
      <end>28</end>
      <status>unmodified</status>
      <modifiedWord/>
      <trackRevisions>false</trackRevisions>
    </reviewItem>
    <reviewItem>
      <errorID/>
      <errorWord>经概率统计得出相应重现期最大值后确定的风速。</errorWord>
      <group>L1_Other</group>
      <groupName>其他问题</groupName>
      <ability>L2_RepeatSentence</ability>
      <abilityName>重句检查</abilityName>
      <candidateList>
        <item/>
      </candidateList>
      <explain>重句检查</explain>
      <paraID>260FD90C</paraID>
      <start>60</start>
      <end>82</end>
      <status>unmodified</status>
      <modifiedWord/>
      <trackRevisions>false</trackRevisions>
    </reviewItem>
    <reviewItem>
      <errorID/>
      <errorWord>GB/T19201-2006，</errorWord>
      <group>L1_Other</group>
      <groupName>其他问题</groupName>
      <ability>L2_RepeatSentence</ability>
      <abilityName>重句检查</abilityName>
      <candidateList>
        <item/>
      </candidateList>
      <explain>重句检查</explain>
      <paraID>57E0E689</paraID>
      <start>4</start>
      <end>19</end>
      <status>unmodified</status>
      <modifiedWord/>
      <trackRevisions>false</trackRevisions>
    </reviewItem>
    <reviewItem>
      <errorID/>
      <errorWord>此处平均风速时距为2min]
</errorWord>
      <group>L1_Other</group>
      <groupName>其他问题</groupName>
      <ability>L2_RepeatSentence</ability>
      <abilityName>重句检查</abilityName>
      <candidateList>
        <item/>
      </candidateList>
      <explain>重句检查</explain>
      <paraID>57E0E689</paraID>
      <start>25</start>
      <end>40</end>
      <status>unmodified</status>
      <modifiedWord/>
      <trackRevisions>false</trackRevisions>
    </reviewItem>
    <reviewItem>
      <errorID>3d4cbadf-e728-4df5-8e30-ebefa649d277</errorID>
      <errorWord>  </errorWord>
      <group>L1_Format</group>
      <groupName>格式问题</groupName>
      <ability>L2_Whitespace</ability>
      <abilityName>空白字符</abilityName>
      <candidateList>
        <item/>
      </candidateList>
      <explain>文本间存在多余的空白字符。</explain>
      <paraID>442E7A53</paraID>
      <start>4</start>
      <end>6</end>
      <status>unmodified</status>
      <modifiedWord/>
      <trackRevisions>false</trackRevisions>
    </reviewItem>
    <reviewItem>
      <errorID>4edc01a0-34cf-4371-917a-96284b019f7a</errorID>
      <errorWord>  </errorWord>
      <group>L1_Format</group>
      <groupName>格式问题</groupName>
      <ability>L2_Whitespace</ability>
      <abilityName>空白字符</abilityName>
      <candidateList>
        <item/>
      </candidateList>
      <explain>文本间存在多余的空白字符。</explain>
      <paraID>2311574C</paraID>
      <start>5</start>
      <end>7</end>
      <status>unmodified</status>
      <modifiedWord/>
      <trackRevisions>false</trackRevisions>
    </reviewItem>
    <reviewItem>
      <errorID>fc79ed9a-777d-45a6-b176-e2f49aa9847a</errorID>
      <errorWord> </errorWord>
      <group>L1_Format</group>
      <groupName>格式问题</groupName>
      <ability>L2_Whitespace</ability>
      <abilityName>空白字符</abilityName>
      <candidateList>
        <item/>
      </candidateList>
      <explain>文本间存在多余的空白字符。</explain>
      <paraID>1FAE6DB4</paraID>
      <start>5</start>
      <end>6</end>
      <status>unmodified</status>
      <modifiedWord/>
      <trackRevisions>false</trackRevisions>
    </reviewItem>
    <reviewItem>
      <errorID/>
      <errorWord>GB50009-2012，</errorWord>
      <group>L1_Other</group>
      <groupName>其他问题</groupName>
      <ability>L2_RepeatSentence</ability>
      <abilityName>重句检查</abilityName>
      <candidateList>
        <item/>
      </candidateList>
      <explain>重句检查</explain>
      <paraID>1C80E871</paraID>
      <start>4</start>
      <end>4</end>
      <status>modified</status>
      <modifiedWord/>
      <trackRevisions>false</trackRevisions>
    </reviewItem>
    <reviewItem>
      <errorID>acb88c64-bb3f-4ca6-87e3-0e6405208ab5</errorID>
      <errorWord>海拔高度</errorWord>
      <group>L1_Word</group>
      <groupName>字词问题</groupName>
      <ability>L2_Typo</ability>
      <abilityName>字词错误</abilityName>
      <candidateList>
        <item>海拔</item>
      </candidateList>
      <explain>〈名〉从平均海平面起算的高度。</explain>
      <paraID>265C5E52</paraID>
      <start>13</start>
      <end>17</end>
      <status>unmodified</status>
      <modifiedWord/>
      <trackRevisions>false</trackRevisions>
    </reviewItem>
    <reviewItem>
      <errorID>36fa0411-9d57-483f-baf3-b38e32bf4486</errorID>
      <errorWord>)</errorWord>
      <group>L1_Format</group>
      <groupName>格式问题</groupName>
      <ability>L2_HalfPunc</ability>
      <abilityName>全半角检查</abilityName>
      <candidateList>
        <item>）</item>
      </candidateList>
      <explain>文本全半角错误。</explain>
      <paraID> B728940</paraID>
      <start>3</start>
      <end>4</end>
      <status>modified</status>
      <modifiedWord>）</modifiedWord>
      <trackRevisions>false</trackRevisions>
    </reviewItem>
    <reviewItem>
      <errorID>7d250c7c-9d2f-40ff-9bab-4801b2b7798e</errorID>
      <errorWord> </errorWord>
      <group>L1_Format</group>
      <groupName>格式问题</groupName>
      <ability>L2_Whitespace</ability>
      <abilityName>空白字符</abilityName>
      <candidateList>
        <item/>
      </candidateList>
      <explain>文本间存在多余的空白字符。</explain>
      <paraID> 4DBFA68</paraID>
      <start>1</start>
      <end>2</end>
      <status>unmodified</status>
      <modifiedWord/>
      <trackRevisions>false</trackRevisions>
    </reviewItem>
    <reviewItem>
      <errorID>0b34c732-27b6-4488-91a9-c67a92eda2b2</errorID>
      <errorWord> </errorWord>
      <group>L1_Format</group>
      <groupName>格式问题</groupName>
      <ability>L2_Whitespace</ability>
      <abilityName>空白字符</abilityName>
      <candidateList>
        <item/>
      </candidateList>
      <explain>文本间存在多余的空白字符。</explain>
      <paraID>6855A100</paraID>
      <start>1</start>
      <end>2</end>
      <status>unmodified</status>
      <modifiedWord/>
      <trackRevisions>false</trackRevisions>
    </reviewItem>
    <reviewItem>
      <errorID>7fd89cad-f1ab-4b67-8c46-c97a192d0602</errorID>
      <errorWord> </errorWord>
      <group>L1_Format</group>
      <groupName>格式问题</groupName>
      <ability>L2_Whitespace</ability>
      <abilityName>空白字符</abilityName>
      <candidateList>
        <item/>
      </candidateList>
      <explain>文本间存在多余的空白字符。</explain>
      <paraID>634F3645</paraID>
      <start>1</start>
      <end>2</end>
      <status>unmodified</status>
      <modifiedWord/>
      <trackRevisions>false</trackRevisions>
    </reviewItem>
    <reviewItem>
      <errorID>b5d17ebc-62c6-477d-a075-9d205533cbec</errorID>
      <errorWord> </errorWord>
      <group>L1_Format</group>
      <groupName>格式问题</groupName>
      <ability>L2_Whitespace</ability>
      <abilityName>空白字符</abilityName>
      <candidateList>
        <item/>
      </candidateList>
      <explain>文本间存在多余的空白字符。</explain>
      <paraID>6E2CDA91</paraID>
      <start>1</start>
      <end>2</end>
      <status>unmodified</status>
      <modifiedWord/>
      <trackRevisions>false</trackRevisions>
    </reviewItem>
    <reviewItem>
      <errorID>0f8da993-435d-4389-9a4b-def7e5114a28</errorID>
      <errorWord>增大</errorWord>
      <group>L1_Grammar</group>
      <groupName>语法问题</groupName>
      <ability>L2_Grammar</ability>
      <abilityName>语法错误</abilityName>
      <candidateList>
        <item>扩大</item>
      </candidateList>
      <explain>“增大～影响”搭配不当，建议修改为“扩大～影响”。</explain>
      <paraID>4F07A14C</paraID>
      <start>54</start>
      <end>56</end>
      <status>unmodified</status>
      <modifiedWord/>
      <trackRevisions>false</trackRevisions>
    </reviewItem>
    <reviewItem>
      <errorID/>
      <errorWord>距海岸越远取值越大）
</errorWord>
      <group>L1_Other</group>
      <groupName>其他问题</groupName>
      <ability>L2_RepeatSentence</ability>
      <abilityName>重句检查</abilityName>
      <candidateList>
        <item/>
      </candidateList>
      <explain>重句检查</explain>
      <paraID>35704148</paraID>
      <start>13</start>
      <end>24</end>
      <status>unmodified</status>
      <modifiedWord/>
      <trackRevisions>false</trackRevisions>
    </reviewItem>
    <reviewItem>
      <errorID>537079e1-c978-4627-a983-b1f2e62ef080</errorID>
      <errorWord>其它</errorWord>
      <group>L1_Word</group>
      <groupName>字词问题</groupName>
      <ability>L2_Alias</ability>
      <abilityName>也作/曾用词</abilityName>
      <candidateList>
        <item>其他</item>
      </candidateList>
      <explain>词汇[其它]为不规范表述或旧称，其规范书面表述为[其他]。</explain>
      <paraID> 4987A27</paraID>
      <start>0</start>
      <end>2</end>
      <status>unmodified</status>
      <modifiedWord/>
      <trackRevisions>false</trackRevisions>
    </reviewItem>
    <reviewItem>
      <errorID>defa7a81-fd96-42bf-baf9-5dd8a374da3a</errorID>
      <errorWord> </errorWord>
      <group>L1_Format</group>
      <groupName>格式问题</groupName>
      <ability>L2_Whitespace</ability>
      <abilityName>空白字符</abilityName>
      <candidateList>
        <item/>
      </candidateList>
      <explain>文本间存在多余的空白字符。</explain>
      <paraID>3B52D8F3</paraID>
      <start>50</start>
      <end>51</end>
      <status>unmodified</status>
      <modifiedWord/>
      <trackRevisions>false</trackRevisions>
    </reviewItem>
    <reviewItem>
      <errorID>de4849c5-1135-4c0c-b118-ab974d3b7996</errorID>
      <errorWord>粘结</errorWord>
      <group>L1_Word</group>
      <groupName>字词问题</groupName>
      <ability>L2_Typo</ability>
      <abilityName>字词错误</abilityName>
      <candidateList>
        <item>黏结</item>
      </candidateList>
      <explain>存在发音相同字词的误用。</explain>
      <paraID>6730D1AF</paraID>
      <start>83</start>
      <end>85</end>
      <status>unmodified</status>
      <modifiedWord/>
      <trackRevisions>false</trackRevisions>
    </reviewItem>
    <reviewItem>
      <errorID/>
      <errorWord>并与主体结构可靠锚固，</errorWord>
      <group>L1_Other</group>
      <groupName>其他问题</groupName>
      <ability>L2_RepeatSentence</ability>
      <abilityName>重句检查</abilityName>
      <candidateList>
        <item/>
      </candidateList>
      <explain>重句检查</explain>
      <paraID>71B302D2</paraID>
      <start>38</start>
      <end>49</end>
      <status>unmodified</status>
      <modifiedWord/>
      <trackRevisions>false</trackRevisions>
    </reviewItem>
    <reviewItem>
      <errorID>ae78f754-be7d-49e2-889c-49d287fb26ad</errorID>
      <errorWord>-</errorWord>
      <group>L1_Format</group>
      <groupName>格式问题</groupName>
      <ability>L2_HalfPunc</ability>
      <abilityName>全半角检查</abilityName>
      <candidateList>
        <item>－</item>
      </candidateList>
      <explain>文本全半角错误。</explain>
      <paraID>4FD5EAFB</paraID>
      <start>38</start>
      <end>39</end>
      <status>unmodified</status>
      <modifiedWord/>
      <trackRevisions>false</trackRevisions>
    </reviewItem>
    <reviewItem>
      <errorID>05a9d3ba-d52c-478a-a9f6-edb92bcdbc48</errorID>
      <errorWord>刚架</errorWord>
      <group>L1_Word</group>
      <groupName>字词问题</groupName>
      <ability>L2_Typo</ability>
      <abilityName>字词错误</abilityName>
      <candidateList>
        <item>钢架</item>
      </candidateList>
      <explain/>
      <paraID>245EFA1D</paraID>
      <start>23</start>
      <end>25</end>
      <status>unmodified</status>
      <modifiedWord/>
      <trackRevisions>false</trackRevisions>
    </reviewItem>
    <reviewItem>
      <errorID>176fd02d-08fe-418f-b5ef-d7d82bbf8c28</errorID>
      <errorWord>刚架</errorWord>
      <group>L1_Word</group>
      <groupName>字词问题</groupName>
      <ability>L2_Typo</ability>
      <abilityName>字词错误</abilityName>
      <candidateList>
        <item>钢架</item>
      </candidateList>
      <explain/>
      <paraID>245EFA1D</paraID>
      <start>39</start>
      <end>41</end>
      <status>unmodified</status>
      <modifiedWord/>
      <trackRevisions>false</trackRevisions>
    </reviewItem>
    <reviewItem>
      <errorID>c779773f-630d-4d9e-91d3-db6e1b3c4c92</errorID>
      <errorWord>-</errorWord>
      <group>L1_Format</group>
      <groupName>格式问题</groupName>
      <ability>L2_HalfPunc</ability>
      <abilityName>全半角检查</abilityName>
      <candidateList>
        <item>－</item>
      </candidateList>
      <explain>文本全半角错误。</explain>
      <paraID> A6064CD</paraID>
      <start>43</start>
      <end>44</end>
      <status>unmodified</status>
      <modifiedWord/>
      <trackRevisions>false</trackRevisions>
    </reviewItem>
    <reviewItem>
      <errorID>936b93b9-3cbf-41dd-8ce4-275587819382</errorID>
      <errorWord>增大</errorWord>
      <group>L1_Grammar</group>
      <groupName>语法问题</groupName>
      <ability>L2_Grammar</ability>
      <abilityName>语法错误</abilityName>
      <candidateList>
        <item>扩大</item>
      </candidateList>
      <explain>“增大～影响”搭配不当，建议修改为“扩大～影响”。</explain>
      <paraID>7A54D4D0</paraID>
      <start>29</start>
      <end>31</end>
      <status>unmodified</status>
      <modifiedWord/>
      <trackRevisions>false</trackRevisions>
    </reviewItem>
    <reviewItem>
      <errorID>38e55abb-052b-44dd-b829-0da0b687377c</errorID>
      <errorWord> </errorWord>
      <group>L1_Format</group>
      <groupName>格式问题</groupName>
      <ability>L2_Whitespace</ability>
      <abilityName>空白字符</abilityName>
      <candidateList>
        <item/>
      </candidateList>
      <explain>文本间存在多余的空白字符。</explain>
      <paraID>7A54D4D0</paraID>
      <start>35</start>
      <end>36</end>
      <status>unmodified</status>
      <modifiedWord/>
      <trackRevisions>false</trackRevisions>
    </reviewItem>
    <reviewItem>
      <errorID>ace2856c-d1a3-4b79-a92b-03ce98329a05</errorID>
      <errorWord>其它构筑物</errorWord>
      <group>L1_Word</group>
      <groupName>字词问题</groupName>
      <ability>L2_Alias</ability>
      <abilityName>也作/曾用词</abilityName>
      <candidateList>
        <item>其他构筑物</item>
      </candidateList>
      <explain>词汇[其它构筑物]为不规范表述或旧称，其规范书面表述为[其他构筑物]。</explain>
      <paraID>63FC4688</paraID>
      <start>0</start>
      <end>5</end>
      <status>unmodified</status>
      <modifiedWord/>
      <trackRevisions>false</trackRevisions>
    </reviewItem>
    <reviewItem>
      <errorID>46b2e16f-d381-46df-9c3a-68a570bd4529</errorID>
      <errorWord>临近</errorWord>
      <group>L1_Word</group>
      <groupName>字词问题</groupName>
      <ability>L2_Typo</ability>
      <abilityName>字词错误</abilityName>
      <candidateList>
        <item>邻近</item>
      </candidateList>
      <explain>存在发音相同字词的误用。</explain>
      <paraID> 75CC1BC</paraID>
      <start>38</start>
      <end>40</end>
      <status>modified</status>
      <modifiedWord>邻近</modifiedWord>
      <trackRevisions>false</trackRevisions>
    </reviewItem>
    <reviewItem>
      <errorID>fc4b26de-b429-4d92-bded-25380cab4f90</errorID>
      <errorWord>-</errorWord>
      <group>L1_Format</group>
      <groupName>格式问题</groupName>
      <ability>L2_HalfPunc</ability>
      <abilityName>全半角检查</abilityName>
      <candidateList>
        <item>－</item>
      </candidateList>
      <explain>文本全半角错误。</explain>
      <paraID>451C2AAB</paraID>
      <start>4</start>
      <end>5</end>
      <status>unmodified</status>
      <modifiedWord/>
      <trackRevisions>false</trackRevisions>
    </reviewItem>
    <reviewItem>
      <errorID>5823132c-0aaf-4496-bf33-6d9a70401a68</errorID>
      <errorWord>-</errorWord>
      <group>L1_Format</group>
      <groupName>格式问题</groupName>
      <ability>L2_HalfPunc</ability>
      <abilityName>全半角检查</abilityName>
      <candidateList>
        <item>－</item>
      </candidateList>
      <explain>文本全半角错误。</explain>
      <paraID>323E3E16</paraID>
      <start>4</start>
      <end>5</end>
      <status>unmodified</status>
      <modifiedWord/>
      <trackRevisions>false</trackRevisions>
    </reviewItem>
    <reviewItem>
      <errorID>86282c39-bb2c-471d-9e95-b9c4a29101f5</errorID>
      <errorWord>-</errorWord>
      <group>L1_Format</group>
      <groupName>格式问题</groupName>
      <ability>L2_HalfPunc</ability>
      <abilityName>全半角检查</abilityName>
      <candidateList>
        <item>－</item>
      </candidateList>
      <explain>文本全半角错误。</explain>
      <paraID>3EFA9897</paraID>
      <start>4</start>
      <end>5</end>
      <status>unmodified</status>
      <modifiedWord/>
      <trackRevisions>false</trackRevisions>
    </reviewItem>
    <reviewItem>
      <errorID>bfdfbda7-0e21-49f7-af01-5c0d78d1bf51</errorID>
      <errorWord>-</errorWord>
      <group>L1_Format</group>
      <groupName>格式问题</groupName>
      <ability>L2_HalfPunc</ability>
      <abilityName>全半角检查</abilityName>
      <candidateList>
        <item>－</item>
      </candidateList>
      <explain>文本全半角错误。</explain>
      <paraID>55F85D47</paraID>
      <start>5</start>
      <end>6</end>
      <status>unmodified</status>
      <modifiedWord/>
      <trackRevisions>false</trackRevisions>
    </reviewItem>
    <reviewItem>
      <errorID>5e62c98a-9e35-4c7b-90fb-791dda32af2c</errorID>
      <errorWord>-</errorWord>
      <group>L1_Format</group>
      <groupName>格式问题</groupName>
      <ability>L2_HalfPunc</ability>
      <abilityName>全半角检查</abilityName>
      <candidateList>
        <item>－</item>
      </candidateList>
      <explain>文本全半角错误。</explain>
      <paraID>28BAC4F0</paraID>
      <start>5</start>
      <end>6</end>
      <status>unmodified</status>
      <modifiedWord/>
      <trackRevisions>false</trackRevisions>
    </reviewItem>
    <reviewItem>
      <errorID>88d1a79d-de04-4fd3-a26f-bf50bb8314d8</errorID>
      <errorWord>超</errorWord>
      <group>L1_Word</group>
      <groupName>字词问题</groupName>
      <ability>L2_Typo</ability>
      <abilityName>字词错误</abilityName>
      <candidateList>
        <item>超过</item>
      </candidateList>
      <explain/>
      <paraID>2D41D5E4</paraID>
      <start>96</start>
      <end>97</end>
      <status>unmodified</status>
      <modifiedWord/>
      <trackRevisions>false</trackRevisions>
    </reviewItem>
    <reviewItem>
      <errorID>a2ea5d4c-e26e-47b9-b9fc-555abf750537</errorID>
      <errorWord>-</errorWord>
      <group>L1_Format</group>
      <groupName>格式问题</groupName>
      <ability>L2_HalfPunc</ability>
      <abilityName>全半角检查</abilityName>
      <candidateList>
        <item>－</item>
      </candidateList>
      <explain>文本全半角错误。</explain>
      <paraID>4D7D52AD</paraID>
      <start>5</start>
      <end>6</end>
      <status>unmodified</status>
      <modifiedWord/>
      <trackRevisions>false</trackRevisions>
    </reviewItem>
    <reviewItem>
      <errorID>9c1c9277-4bd5-4ddf-9662-509f7e57bebb</errorID>
      <errorWord>-</errorWord>
      <group>L1_Format</group>
      <groupName>格式问题</groupName>
      <ability>L2_HalfPunc</ability>
      <abilityName>全半角检查</abilityName>
      <candidateList>
        <item>－</item>
      </candidateList>
      <explain>文本全半角错误。</explain>
      <paraID>4EA6988F</paraID>
      <start>6</start>
      <end>7</end>
      <status>unmodified</status>
      <modifiedWord/>
      <trackRevisions>false</trackRevisions>
    </reviewItem>
    <reviewItem>
      <errorID>6be5b87e-f11c-419e-91cb-9aefb28a18fb</errorID>
      <errorWord>-</errorWord>
      <group>L1_Format</group>
      <groupName>格式问题</groupName>
      <ability>L2_HalfPunc</ability>
      <abilityName>全半角检查</abilityName>
      <candidateList>
        <item>－</item>
      </candidateList>
      <explain>文本全半角错误。</explain>
      <paraID>235BE273</paraID>
      <start>6</start>
      <end>7</end>
      <status>unmodified</status>
      <modifiedWord/>
      <trackRevisions>false</trackRevisions>
    </reviewItem>
    <reviewItem>
      <errorID>b8f5d53c-8014-4f7e-bffa-d391c5eaa1eb</errorID>
      <errorWord>-</errorWord>
      <group>L1_Format</group>
      <groupName>格式问题</groupName>
      <ability>L2_HalfPunc</ability>
      <abilityName>全半角检查</abilityName>
      <candidateList>
        <item>－</item>
      </candidateList>
      <explain>文本全半角错误。</explain>
      <paraID>63883C61</paraID>
      <start>6</start>
      <end>7</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 92978E9</paraID>
      <start>0</start>
      <end>6</end>
      <status>unmodified</status>
      <modifiedWord/>
      <trackRevisions>false</trackRevisions>
    </reviewItem>
    <reviewItem>
      <errorID>26198b9f-9c4c-4070-9483-a4ec2e8ec04a</errorID>
      <errorWord>-</errorWord>
      <group>L1_Format</group>
      <groupName>格式问题</groupName>
      <ability>L2_HalfPunc</ability>
      <abilityName>全半角检查</abilityName>
      <candidateList>
        <item>－</item>
      </candidateList>
      <explain>文本全半角错误。</explain>
      <paraID>76D20D2C</paraID>
      <start>6</start>
      <end>7</end>
      <status>unmodified</status>
      <modifiedWord/>
      <trackRevisions>false</trackRevisions>
    </reviewItem>
    <reviewItem>
      <errorID/>
      <errorWord>符合设计抗风荷载要求，</errorWord>
      <group>L1_Other</group>
      <groupName>其他问题</groupName>
      <ability>L2_RepeatSentence</ability>
      <abilityName>重句检查</abilityName>
      <candidateList>
        <item/>
      </candidateList>
      <explain>重句检查</explain>
      <paraID>66B35ED6</paraID>
      <start>0</start>
      <end>11</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18773D3D</paraID>
      <start>0</start>
      <end>6</end>
      <status>unmodified</status>
      <modifiedWord/>
      <trackRevisions>false</trackRevisions>
    </reviewItem>
    <reviewItem>
      <errorID>736bc2ed-7355-4201-ba76-a8eb74f0322f</errorID>
      <errorWord>-</errorWord>
      <group>L1_Format</group>
      <groupName>格式问题</groupName>
      <ability>L2_HalfPunc</ability>
      <abilityName>全半角检查</abilityName>
      <candidateList>
        <item>－</item>
      </candidateList>
      <explain>文本全半角错误。</explain>
      <paraID>79D3482E</paraID>
      <start>6</start>
      <end>7</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1B8CBF46</paraID>
      <start>0</start>
      <end>6</end>
      <status>unmodified</status>
      <modifiedWord/>
      <trackRevisions>false</trackRevisions>
    </reviewItem>
    <reviewItem>
      <errorID>fb5d908d-9060-43c7-9e9f-7972d87ff814</errorID>
      <errorWord>-</errorWord>
      <group>L1_Format</group>
      <groupName>格式问题</groupName>
      <ability>L2_HalfPunc</ability>
      <abilityName>全半角检查</abilityName>
      <candidateList>
        <item>－</item>
      </candidateList>
      <explain>文本全半角错误。</explain>
      <paraID>632EA725</paraID>
      <start>6</start>
      <end>7</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3806FA0B</paraID>
      <start>0</start>
      <end>6</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 68CF15F</paraID>
      <start>0</start>
      <end>6</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63210A40</paraID>
      <start>0</start>
      <end>6</end>
      <status>unmodified</status>
      <modifiedWord/>
      <trackRevisions>false</trackRevisions>
    </reviewItem>
    <reviewItem>
      <errorID>8c4d5787-e140-469b-adb1-00b576a475c5</errorID>
      <errorWord>-</errorWord>
      <group>L1_Format</group>
      <groupName>格式问题</groupName>
      <ability>L2_HalfPunc</ability>
      <abilityName>全半角检查</abilityName>
      <candidateList>
        <item>－</item>
      </candidateList>
      <explain>文本全半角错误。</explain>
      <paraID>7161EE14</paraID>
      <start>6</start>
      <end>7</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57AA1E98</paraID>
      <start>0</start>
      <end>6</end>
      <status>unmodified</status>
      <modifiedWord/>
      <trackRevisions>false</trackRevisions>
    </reviewItem>
    <reviewItem>
      <errorID>76191aed-8093-4e87-ad90-879b7c06bd19</errorID>
      <errorWord>-</errorWord>
      <group>L1_Format</group>
      <groupName>格式问题</groupName>
      <ability>L2_HalfPunc</ability>
      <abilityName>全半角检查</abilityName>
      <candidateList>
        <item>－</item>
      </candidateList>
      <explain>文本全半角错误。</explain>
      <paraID> 7B83393</paraID>
      <start>6</start>
      <end>7</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3B3B19DF</paraID>
      <start>0</start>
      <end>6</end>
      <status>unmodified</status>
      <modifiedWord/>
      <trackRevisions>false</trackRevisions>
    </reviewItem>
    <reviewItem>
      <errorID>13f0068f-fc8c-41d0-a45b-0aaae42c89f5</errorID>
      <errorWord>超</errorWord>
      <group>L1_Word</group>
      <groupName>字词问题</groupName>
      <ability>L2_Typo</ability>
      <abilityName>字词错误</abilityName>
      <candidateList>
        <item>超过</item>
      </candidateList>
      <explain/>
      <paraID>474B4D99</paraID>
      <start>2</start>
      <end>3</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1A47267A</paraID>
      <start>0</start>
      <end>6</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 2C18455</paraID>
      <start>0</start>
      <end>6</end>
      <status>unmodified</status>
      <modifiedWord/>
      <trackRevisions>false</trackRevisions>
    </reviewItem>
    <reviewItem>
      <errorID>d7948f46-6f06-423c-bd5e-fbd90da1ff7b</errorID>
      <errorWord>-</errorWord>
      <group>L1_Format</group>
      <groupName>格式问题</groupName>
      <ability>L2_HalfPunc</ability>
      <abilityName>全半角检查</abilityName>
      <candidateList>
        <item>－</item>
      </candidateList>
      <explain>文本全半角错误。</explain>
      <paraID>10747EC6</paraID>
      <start>6</start>
      <end>7</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1F889F61</paraID>
      <start>0</start>
      <end>6</end>
      <status>unmodified</status>
      <modifiedWord/>
      <trackRevisions>false</trackRevisions>
    </reviewItem>
    <reviewItem>
      <errorID>ee86e487-6aa3-4e96-a176-968b40a89935</errorID>
      <errorWord>-</errorWord>
      <group>L1_Format</group>
      <groupName>格式问题</groupName>
      <ability>L2_HalfPunc</ability>
      <abilityName>全半角检查</abilityName>
      <candidateList>
        <item>－</item>
      </candidateList>
      <explain>文本全半角错误。</explain>
      <paraID>3356E90B</paraID>
      <start>6</start>
      <end>7</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5AAAC8F5</paraID>
      <start>0</start>
      <end>6</end>
      <status>unmodified</status>
      <modifiedWord/>
      <trackRevisions>false</trackRevisions>
    </reviewItem>
    <reviewItem>
      <errorID>07421a8a-d07e-4a58-9679-d2f17afaa4c0</errorID>
      <errorWord>-</errorWord>
      <group>L1_Format</group>
      <groupName>格式问题</groupName>
      <ability>L2_HalfPunc</ability>
      <abilityName>全半角检查</abilityName>
      <candidateList>
        <item>－</item>
      </candidateList>
      <explain>文本全半角错误。</explain>
      <paraID>76CE7E48</paraID>
      <start>6</start>
      <end>7</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3CBAEB42</paraID>
      <start>0</start>
      <end>6</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52B02F71</paraID>
      <start>0</start>
      <end>6</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b07c2a-9d38-4698-a672-a819a5567cb7}">
  <ds:schemaRefs/>
</ds:datastoreItem>
</file>

<file path=customXml/itemProps3.xml><?xml version="1.0" encoding="utf-8"?>
<ds:datastoreItem xmlns:ds="http://schemas.openxmlformats.org/officeDocument/2006/customXml" ds:itemID="{45901214-3F13-4D39-A25C-923A91DC6B28}">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12</Pages>
  <Words>3931</Words>
  <Characters>4484</Characters>
  <Lines>139</Lines>
  <Paragraphs>39</Paragraphs>
  <TotalTime>0</TotalTime>
  <ScaleCrop>false</ScaleCrop>
  <LinksUpToDate>false</LinksUpToDate>
  <CharactersWithSpaces>4674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2026-05-06T02:58:00Z</dcterms:created>
  <dc:creator>xin han</dc:creator>
  <dc:description>&lt;config cover="true" show_menu="true" version="1.0.0" doctype="SDKXY"&gt;_x000d_
&lt;/config&gt;</dc:description>
  <cp:lastModifiedBy>WPS_1774234171</cp:lastModifiedBy>
  <cp:lastPrinted>2021-02-02T08:22:00Z</cp:lastPrinted>
  <dcterms:modified xsi:type="dcterms:W3CDTF">2026-07-07T07:19:11Z</dcterms:modified>
  <dc:title>团体标准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eyJoZGlkIjoiM2Q1MjM1MzJjMTc2NjdkOTNmZmMwYTYyOWNjMmRjZTEiLCJ1c2VySWQiOiIxODE0OTYxNDE0In0=</vt:lpwstr>
  </property>
  <property fmtid="{D5CDD505-2E9C-101B-9397-08002B2CF9AE}" pid="15" name="KSOProductBuildVer">
    <vt:lpwstr>2052-12.1.0.26895</vt:lpwstr>
  </property>
  <property fmtid="{D5CDD505-2E9C-101B-9397-08002B2CF9AE}" pid="16" name="ICV">
    <vt:lpwstr>801B5FF79DAB49349263462A8753508D_13</vt:lpwstr>
  </property>
</Properties>
</file>