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0"/>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7838CE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385853F2">
            <w:pPr>
              <w:pStyle w:val="19"/>
              <w:framePr w:wrap="notBeside" w:vAnchor="page" w:hAnchor="page" w:x="1372" w:y="568"/>
              <w:tabs>
                <w:tab w:val="clear" w:pos="4153"/>
                <w:tab w:val="clear" w:pos="8306"/>
              </w:tabs>
              <w:jc w:val="left"/>
              <w:rPr>
                <w:rFonts w:ascii="黑体" w:hAnsi="黑体" w:eastAsia="黑体"/>
                <w:sz w:val="21"/>
                <w:szCs w:val="21"/>
              </w:rPr>
            </w:pPr>
            <w:bookmarkStart w:id="0" w:name="BookMark1"/>
            <w:bookmarkStart w:id="1" w:name="_Toc174605308"/>
            <w:bookmarkStart w:id="2" w:name="_Toc172101661"/>
            <w:bookmarkStart w:id="3" w:name="_Toc172101674"/>
            <w:bookmarkStart w:id="4" w:name="_Toc169701445"/>
            <w:bookmarkStart w:id="5" w:name="_Toc176966294"/>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181E83E9">
            <w:pPr>
              <w:pStyle w:val="19"/>
              <w:framePr w:wrap="notBeside" w:vAnchor="page" w:hAnchor="page" w:x="1372" w:y="568"/>
              <w:tabs>
                <w:tab w:val="clear" w:pos="4153"/>
                <w:tab w:val="clear" w:pos="8306"/>
              </w:tabs>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点击此处添加ICS号</w:t>
            </w:r>
            <w:r>
              <w:rPr>
                <w:rFonts w:ascii="黑体" w:hAnsi="黑体" w:eastAsia="黑体"/>
                <w:sz w:val="21"/>
                <w:szCs w:val="21"/>
              </w:rPr>
              <w:fldChar w:fldCharType="end"/>
            </w:r>
          </w:p>
        </w:tc>
      </w:tr>
      <w:tr w14:paraId="5C115D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24608469">
            <w:pPr>
              <w:pStyle w:val="19"/>
              <w:framePr w:wrap="notBeside" w:vAnchor="page" w:hAnchor="page" w:x="1372" w:y="568"/>
              <w:tabs>
                <w:tab w:val="clear" w:pos="4153"/>
                <w:tab w:val="clear" w:pos="8306"/>
              </w:tabs>
              <w:spacing w:before="40"/>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30"/>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40D9C233">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6611FDE8">
                  <w:pPr>
                    <w:pStyle w:val="53"/>
                    <w:framePr w:wrap="notBeside" w:vAnchor="page" w:hAnchor="page" w:x="1372" w:y="568"/>
                    <w:ind w:left="420" w:right="624"/>
                    <w:rPr>
                      <w:rFonts w:ascii="宋体" w:hAnsi="宋体"/>
                      <w:sz w:val="28"/>
                      <w:szCs w:val="28"/>
                    </w:rPr>
                  </w:pPr>
                  <w:r>
                    <w:rPr>
                      <w:rFonts w:hint="eastAsia"/>
                    </w:rPr>
                    <w:drawing>
                      <wp:anchor distT="0" distB="0" distL="114300" distR="114300" simplePos="0" relativeHeight="251660288" behindDoc="0" locked="0" layoutInCell="1" allowOverlap="1">
                        <wp:simplePos x="0" y="0"/>
                        <wp:positionH relativeFrom="column">
                          <wp:posOffset>23495</wp:posOffset>
                        </wp:positionH>
                        <wp:positionV relativeFrom="paragraph">
                          <wp:posOffset>0</wp:posOffset>
                        </wp:positionV>
                        <wp:extent cx="657225" cy="657225"/>
                        <wp:effectExtent l="0" t="0" r="9525" b="9525"/>
                        <wp:wrapSquare wrapText="bothSides"/>
                        <wp:docPr id="11" name="图片 11" descr="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标1"/>
                                <pic:cNvPicPr>
                                  <a:picLocks noChangeAspect="1"/>
                                </pic:cNvPicPr>
                              </pic:nvPicPr>
                              <pic:blipFill>
                                <a:blip r:embed="rId10"/>
                                <a:stretch>
                                  <a:fillRect/>
                                </a:stretch>
                              </pic:blipFill>
                              <pic:spPr>
                                <a:xfrm>
                                  <a:off x="0" y="0"/>
                                  <a:ext cx="657225" cy="657225"/>
                                </a:xfrm>
                                <a:prstGeom prst="rect">
                                  <a:avLst/>
                                </a:prstGeom>
                              </pic:spPr>
                            </pic:pic>
                          </a:graphicData>
                        </a:graphic>
                      </wp:anchor>
                    </w:drawing>
                  </w:r>
                </w:p>
              </w:tc>
            </w:tr>
          </w:tbl>
          <w:p w14:paraId="22A35D4C">
            <w:pPr>
              <w:pStyle w:val="19"/>
              <w:framePr w:wrap="notBeside" w:vAnchor="page" w:hAnchor="page" w:x="1372" w:y="568"/>
              <w:tabs>
                <w:tab w:val="clear" w:pos="4153"/>
                <w:tab w:val="clear" w:pos="8306"/>
              </w:tabs>
              <w:spacing w:before="40"/>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点击此处添加CCS号</w:t>
            </w:r>
            <w:r>
              <w:rPr>
                <w:rFonts w:ascii="黑体" w:hAnsi="黑体" w:eastAsia="黑体"/>
                <w:sz w:val="21"/>
                <w:szCs w:val="21"/>
              </w:rPr>
              <w:fldChar w:fldCharType="end"/>
            </w:r>
          </w:p>
        </w:tc>
      </w:tr>
    </w:tbl>
    <w:p w14:paraId="63E77D6D">
      <w:pPr>
        <w:pStyle w:val="54"/>
        <w:framePr w:w="9639" w:h="624" w:hRule="exact" w:hSpace="181" w:vSpace="181" w:wrap="around" w:hAnchor="page" w:x="1305" w:y="2269"/>
        <w:rPr>
          <w:rFonts w:ascii="黑体" w:hAnsi="黑体" w:eastAsia="黑体"/>
          <w:b w:val="0"/>
          <w:bCs w:val="0"/>
          <w:w w:val="100"/>
          <w:sz w:val="48"/>
          <w:szCs w:val="48"/>
        </w:rPr>
      </w:pPr>
      <w:r>
        <w:rPr>
          <w:rFonts w:hint="eastAsia" w:ascii="黑体" w:eastAsia="黑体"/>
          <w:b w:val="0"/>
          <w:w w:val="100"/>
          <w:sz w:val="48"/>
        </w:rPr>
        <w:t>团体</w:t>
      </w:r>
      <w:r>
        <w:rPr>
          <w:rFonts w:hint="eastAsia" w:ascii="黑体" w:hAnsi="黑体" w:eastAsia="黑体"/>
          <w:b w:val="0"/>
          <w:bCs w:val="0"/>
          <w:w w:val="100"/>
          <w:sz w:val="48"/>
          <w:szCs w:val="48"/>
        </w:rPr>
        <w:t>标准</w:t>
      </w:r>
    </w:p>
    <w:p w14:paraId="3A0624CF">
      <w:pPr>
        <w:pStyle w:val="199"/>
        <w:framePr/>
      </w:pPr>
      <w:r>
        <w:t>T/</w:t>
      </w:r>
      <w:r>
        <w:fldChar w:fldCharType="begin">
          <w:ffData>
            <w:name w:val="文字1"/>
            <w:enabled/>
            <w:calcOnExit w:val="0"/>
            <w:textInput>
              <w:default w:val="XXX"/>
            </w:textInput>
          </w:ffData>
        </w:fldChar>
      </w:r>
      <w:bookmarkStart w:id="6" w:name="文字1"/>
      <w:r>
        <w:instrText xml:space="preserve"> FORMTEXT </w:instrText>
      </w:r>
      <w:r>
        <w:fldChar w:fldCharType="separate"/>
      </w:r>
      <w:r>
        <w:t>CEPCA</w:t>
      </w:r>
      <w:r>
        <w:fldChar w:fldCharType="end"/>
      </w:r>
      <w:bookmarkEnd w:id="6"/>
      <w:r>
        <w:t xml:space="preserve"> </w:t>
      </w:r>
      <w:r>
        <w:fldChar w:fldCharType="begin">
          <w:ffData>
            <w:name w:val="NSTD_CODE_F"/>
            <w:enabled/>
            <w:calcOnExit w:val="0"/>
            <w:textInput>
              <w:default w:val="XXXX"/>
            </w:textInput>
          </w:ffData>
        </w:fldChar>
      </w:r>
      <w:bookmarkStart w:id="7" w:name="NSTD_CODE_F"/>
      <w:r>
        <w:instrText xml:space="preserve"> FORMTEXT </w:instrText>
      </w:r>
      <w:r>
        <w:fldChar w:fldCharType="separate"/>
      </w:r>
      <w:r>
        <w:t>XXXX</w:t>
      </w:r>
      <w:r>
        <w:fldChar w:fldCharType="end"/>
      </w:r>
      <w:bookmarkEnd w:id="7"/>
      <w:r>
        <w:rPr>
          <w:rFonts w:hAnsi="黑体"/>
        </w:rPr>
        <w:t>—</w:t>
      </w:r>
      <w:r>
        <w:fldChar w:fldCharType="begin">
          <w:ffData>
            <w:name w:val="NSTD_CODE_B"/>
            <w:enabled/>
            <w:calcOnExit w:val="0"/>
            <w:textInput>
              <w:default w:val="XXXX"/>
            </w:textInput>
          </w:ffData>
        </w:fldChar>
      </w:r>
      <w:bookmarkStart w:id="8" w:name="NSTD_CODE_B"/>
      <w:r>
        <w:instrText xml:space="preserve"> FORMTEXT </w:instrText>
      </w:r>
      <w:r>
        <w:fldChar w:fldCharType="separate"/>
      </w:r>
      <w:r>
        <w:t>2025</w:t>
      </w:r>
      <w:r>
        <w:fldChar w:fldCharType="end"/>
      </w:r>
      <w:bookmarkEnd w:id="8"/>
    </w:p>
    <w:p w14:paraId="24C791E1">
      <w:pPr>
        <w:pStyle w:val="200"/>
        <w:framePr/>
        <w:rPr>
          <w:rFonts w:hAnsi="黑体"/>
        </w:rPr>
      </w:pPr>
      <w:r>
        <w:rPr>
          <w:rFonts w:hAnsi="黑体"/>
        </w:rPr>
        <w:fldChar w:fldCharType="begin">
          <w:ffData>
            <w:name w:val="OSTD_CODE"/>
            <w:enabled/>
            <w:calcOnExit w:val="0"/>
            <w:textInput/>
          </w:ffData>
        </w:fldChar>
      </w:r>
      <w:r>
        <w:rPr>
          <w:rFonts w:hAnsi="黑体"/>
        </w:rPr>
        <w:instrText xml:space="preserve"> FORMTEXT </w:instrText>
      </w:r>
      <w:r>
        <w:rPr>
          <w:rFonts w:hAnsi="黑体"/>
        </w:rPr>
        <w:fldChar w:fldCharType="separate"/>
      </w:r>
      <w:r>
        <w:rPr>
          <w:rFonts w:hAnsi="黑体"/>
        </w:rPr>
        <w:t>     </w:t>
      </w:r>
      <w:r>
        <w:rPr>
          <w:rFonts w:hAnsi="黑体"/>
        </w:rPr>
        <w:fldChar w:fldCharType="end"/>
      </w:r>
    </w:p>
    <w:p w14:paraId="656A1F87">
      <w:pPr>
        <w:rPr>
          <w:rFonts w:ascii="黑体" w:hAnsi="黑体" w:eastAsia="黑体"/>
          <w:kern w:val="0"/>
          <w:sz w:val="10"/>
          <w:szCs w:val="10"/>
        </w:rPr>
      </w:pPr>
      <w:r>
        <w:rPr>
          <w:sz w:val="28"/>
        </w:rPr>
        <mc:AlternateContent>
          <mc:Choice Requires="wps">
            <w:drawing>
              <wp:anchor distT="0" distB="0" distL="114300" distR="114300" simplePos="0" relativeHeight="251663360" behindDoc="0" locked="0" layoutInCell="1" allowOverlap="1">
                <wp:simplePos x="0" y="0"/>
                <wp:positionH relativeFrom="column">
                  <wp:posOffset>-914400</wp:posOffset>
                </wp:positionH>
                <wp:positionV relativeFrom="paragraph">
                  <wp:posOffset>-1088390</wp:posOffset>
                </wp:positionV>
                <wp:extent cx="914400" cy="470535"/>
                <wp:effectExtent l="0" t="0" r="0" b="0"/>
                <wp:wrapNone/>
                <wp:docPr id="9" name="文本框 9"/>
                <wp:cNvGraphicFramePr/>
                <a:graphic xmlns:a="http://schemas.openxmlformats.org/drawingml/2006/main">
                  <a:graphicData uri="http://schemas.microsoft.com/office/word/2010/wordprocessingShape">
                    <wps:wsp>
                      <wps:cNvSpPr txBox="1"/>
                      <wps:spPr>
                        <a:xfrm>
                          <a:off x="0" y="0"/>
                          <a:ext cx="914400" cy="47053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0A49C4F">
                            <w:pPr>
                              <w:rPr>
                                <w:rFonts w:hint="eastAsia" w:ascii="黑体" w:hAnsi="黑体" w:eastAsia="黑体" w:cs="黑体"/>
                                <w:sz w:val="32"/>
                                <w:szCs w:val="32"/>
                                <w:lang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5</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72pt;margin-top:-85.7pt;height:37.05pt;width:72pt;z-index:251663360;mso-width-relative:page;mso-height-relative:page;" filled="f" stroked="f" coordsize="21600,21600" o:gfxdata="UEsDBAoAAAAAAIdO4kAAAAAAAAAAAAAAAAAEAAAAZHJzL1BLAwQUAAAACACHTuJAeEzYLdoAAAAK&#10;AQAADwAAAGRycy9kb3ducmV2LnhtbE2PzU7DMBCE70i8g7VI3FonJdAS4lQoUoWE6KGlF26b2E0i&#10;7HWI3R94erYnuO1oRzPfFMuzs+JoxtB7UpBOExCGGq97ahXs3leTBYgQkTRaT0bBtwmwLK+vCsy1&#10;P9HGHLexFRxCIUcFXYxDLmVoOuMwTP1giH97PzqMLMdW6hFPHO6snCXJg3TYEzd0OJiqM83n9uAU&#10;vFarNW7qmVv82Orlbf88fO0+7pW6vUmTJxDRnOOfGS74jA4lM9X+QDoIq2CSZhmPiZdrnmYg2MO6&#10;Zv04vwNZFvL/hPIXUEsDBBQAAAAIAIdO4kADyFHqOQIAAGUEAAAOAAAAZHJzL2Uyb0RvYy54bWyt&#10;VMGO2jAQvVfqP1i+lwQWdgsirOgiqkqouxKtejaOQyLZHtc2JPQD2j/YUy+997v4jo6dwKJtD3vo&#10;xYw9kzfz3swwvW2UJHthXQU6o/1eSonQHPJKbzP6+dPyzVtKnGc6ZxK0yOhBOHo7e/1qWpuJGEAJ&#10;MheWIIh2k9pktPTeTJLE8VIo5npghEZnAVYxj1e7TXLLakRXMhmk6XVSg82NBS6cw9dF66Qdon0J&#10;IBRFxcUC+E4J7VtUKyTzSMmVlXF0FqstCsH9fVE44YnMKDL18cQkaG/CmcymbLK1zJQV70pgLynh&#10;GSfFKo1Jz1AL5hnZ2eovKFVxCw4K3+OgkpZIVARZ9NNn2qxLZkTkglI7cxbd/T9Y/nH/YEmVZ3RM&#10;iWYKG358/HH8+fv46zsZB3lq4yYYtTYY55t30ODQnN4dPgbWTWFV+EU+BP0o7uEsrmg84fg47g+H&#10;KXo4uoY36ehqFFCSp4+Ndf69AEWCkVGLvYuSsv3K+Tb0FBJyaVhWUsb+SU3qjF5fjdL4wdmD4FJj&#10;jkChLTVYvtk0Ha8N5AekZaGdC2f4ssLkK+b8A7M4CFgvroq/x6OQgEmgsygpwX7713uIx/6gl5Ia&#10;Byuj7uuOWUGJ/KCxc1EHnMR4GY5uBpjDXno2lx69U3eAs9vHpTQ8miHey5NZWFBfcKPmISu6mOaY&#10;O6P+ZN75dtxxI7mYz2MQzp5hfqXXhgfoVs75zkNRRaWDTK02nXo4fbFX3aaE8b68x6inf4fZH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HhM2C3aAAAACgEAAA8AAAAAAAAAAQAgAAAAIgAAAGRycy9k&#10;b3ducmV2LnhtbFBLAQIUABQAAAAIAIdO4kADyFHqOQIAAGUEAAAOAAAAAAAAAAEAIAAAACkBAABk&#10;cnMvZTJvRG9jLnhtbFBLBQYAAAAABgAGAFkBAADUBQAAAAA=&#10;">
                <v:fill on="f" focussize="0,0"/>
                <v:stroke on="f" weight="0.5pt"/>
                <v:imagedata o:title=""/>
                <o:lock v:ext="edit" aspectratio="f"/>
                <v:textbox>
                  <w:txbxContent>
                    <w:p w14:paraId="50A49C4F">
                      <w:pPr>
                        <w:rPr>
                          <w:rFonts w:hint="eastAsia" w:ascii="黑体" w:hAnsi="黑体" w:eastAsia="黑体" w:cs="黑体"/>
                          <w:sz w:val="32"/>
                          <w:szCs w:val="32"/>
                          <w:lang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5</w:t>
                      </w:r>
                    </w:p>
                  </w:txbxContent>
                </v:textbox>
              </v:shape>
            </w:pict>
          </mc:Fallback>
        </mc:AlternateContent>
      </w: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4445" r="0" b="5080"/>
                <wp:wrapNone/>
                <wp:docPr id="4" name="直接连接符 4"/>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KlULTeQBAACqAwAADgAAAGRycy9lMm9Eb2MueG1srVPB&#10;bhMxEL0j8Q+W72STqK1glU0PicqlQKSWD5h4vbsWtseynWzyE/wAEjc4ceTO31A+g7E3CaW99NA9&#10;WB7PzJt5b2Znlzuj2Vb6oNBWfDIacyatwFrZtuIfb69eveYsRLA1aLSy4nsZ+OX85YtZ70o5xQ51&#10;LT0jEBvK3lW8i9GVRRFEJw2EETppydmgNxDJ9G1Re+gJ3ehiOh5fFD362nkUMgR6XQ5OfkD0TwHE&#10;plFCLlFsjLRxQPVSQyRKoVMu8HnutmmkiB+aJsjIdMWJacwnFaH7Op3FfAZl68F1ShxagKe08ICT&#10;AWWp6AlqCRHYxqtHUEYJjwGbOBJoioFIVoRYTMYPtLnpwMnMhaQO7iR6eD5Y8X678kzVFT/jzIKh&#10;gd99+fn787c/v77SeffjOztLIvUulBS7sCufaIqdvXHXKD4FZnHRgW1lbvZ27whhkjKK/1KSERyV&#10;WvfvsKYY2ETMiu0abxIkacF2eTD702DkLjJBjxcT2pwxzUwcfQWUx0TnQ3wr0bB0qbhWNmkGJWyv&#10;Q0yNQHkMSc8Wr5TWee7asr7ib86n5zkhoFZ1cqaw4Nv1Qnu2hbQ5+cusyHM/zOPG1kMRbQ+kE89B&#10;sTXW+5U/ikEjzN0c1i3tyH07Z//7xeZ/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CeDSZbYAAAA&#10;DAEAAA8AAAAAAAAAAQAgAAAAIgAAAGRycy9kb3ducmV2LnhtbFBLAQIUABQAAAAIAIdO4kAqVQtN&#10;5AEAAKoDAAAOAAAAAAAAAAEAIAAAACcBAABkcnMvZTJvRG9jLnhtbFBLBQYAAAAABgAGAFkBAAB9&#10;BQAAAAA=&#10;">
                <v:fill on="f" focussize="0,0"/>
                <v:stroke color="#000000" joinstyle="round"/>
                <v:imagedata o:title=""/>
                <o:lock v:ext="edit" aspectratio="f"/>
              </v:line>
            </w:pict>
          </mc:Fallback>
        </mc:AlternateContent>
      </w:r>
    </w:p>
    <w:p w14:paraId="0CD0F5B1">
      <w:pPr>
        <w:pStyle w:val="54"/>
        <w:framePr w:w="9639" w:h="6976" w:hRule="exact" w:hSpace="0" w:vSpace="0" w:wrap="around" w:hAnchor="page" w:y="6408"/>
        <w:jc w:val="center"/>
        <w:rPr>
          <w:rFonts w:ascii="黑体" w:hAnsi="黑体" w:eastAsia="黑体"/>
          <w:b w:val="0"/>
          <w:bCs w:val="0"/>
          <w:w w:val="100"/>
        </w:rPr>
      </w:pPr>
    </w:p>
    <w:p w14:paraId="4131FE28">
      <w:pPr>
        <w:pStyle w:val="201"/>
        <w:framePr w:h="6974" w:hRule="exact" w:wrap="around" w:x="1419" w:anchorLock="1"/>
      </w:pPr>
      <w:bookmarkStart w:id="9" w:name="CSTD_NAME"/>
      <w:bookmarkStart w:id="62" w:name="_GoBack"/>
      <w:r>
        <w:fldChar w:fldCharType="begin">
          <w:ffData>
            <w:name w:val="CSTD_NAME"/>
            <w:enabled/>
            <w:calcOnExit w:val="0"/>
            <w:textInput>
              <w:default w:val="燃煤发电机组深度调峰安全防范技术规范"/>
            </w:textInput>
          </w:ffData>
        </w:fldChar>
      </w:r>
      <w:r>
        <w:instrText xml:space="preserve">FORMTEXT</w:instrText>
      </w:r>
      <w:r>
        <w:fldChar w:fldCharType="separate"/>
      </w:r>
      <w:r>
        <w:t>燃煤发电机组深度调峰安全防范技术规范</w:t>
      </w:r>
      <w:r>
        <w:fldChar w:fldCharType="end"/>
      </w:r>
      <w:bookmarkEnd w:id="62"/>
      <w:bookmarkEnd w:id="9"/>
    </w:p>
    <w:p w14:paraId="69D6B536">
      <w:pPr>
        <w:framePr w:w="9639" w:h="6974" w:hRule="exact" w:wrap="around" w:vAnchor="page" w:hAnchor="page" w:x="1419" w:y="6408" w:anchorLock="1"/>
        <w:ind w:left="-1418"/>
      </w:pPr>
    </w:p>
    <w:p w14:paraId="1E08D5F7">
      <w:pPr>
        <w:pStyle w:val="129"/>
        <w:framePr w:w="9639" w:h="6974" w:hRule="exact" w:wrap="around" w:vAnchor="page" w:hAnchor="page" w:x="1419" w:y="6408" w:anchorLock="1"/>
        <w:textAlignment w:val="bottom"/>
        <w:rPr>
          <w:rFonts w:eastAsia="黑体"/>
          <w:szCs w:val="28"/>
        </w:rPr>
      </w:pPr>
      <w:bookmarkStart w:id="10" w:name="ESTD_NAME"/>
      <w:r>
        <w:rPr>
          <w:rFonts w:eastAsia="黑体"/>
          <w:szCs w:val="28"/>
        </w:rPr>
        <w:fldChar w:fldCharType="begin">
          <w:ffData>
            <w:name w:val="ESTD_NAME"/>
            <w:enabled/>
            <w:calcOnExit w:val="0"/>
            <w:textInput>
              <w:default w:val="Technical specification for safety precautions of deep peaking of coal-fired generating units"/>
            </w:textInput>
          </w:ffData>
        </w:fldChar>
      </w:r>
      <w:r>
        <w:rPr>
          <w:rFonts w:eastAsia="黑体"/>
          <w:szCs w:val="28"/>
        </w:rPr>
        <w:instrText xml:space="preserve">FORMTEXT</w:instrText>
      </w:r>
      <w:r>
        <w:rPr>
          <w:rFonts w:eastAsia="黑体"/>
          <w:szCs w:val="28"/>
        </w:rPr>
        <w:fldChar w:fldCharType="separate"/>
      </w:r>
      <w:r>
        <w:rPr>
          <w:rFonts w:eastAsia="黑体"/>
          <w:szCs w:val="28"/>
        </w:rPr>
        <w:t>Technical specification for safety precautions of deep peaking of coal-fired generating units</w:t>
      </w:r>
      <w:r>
        <w:rPr>
          <w:rFonts w:eastAsia="黑体"/>
          <w:szCs w:val="28"/>
        </w:rPr>
        <w:fldChar w:fldCharType="end"/>
      </w:r>
      <w:bookmarkEnd w:id="10"/>
    </w:p>
    <w:p w14:paraId="031B1068">
      <w:pPr>
        <w:framePr w:w="9639" w:h="6974" w:hRule="exact" w:wrap="around" w:vAnchor="page" w:hAnchor="page" w:x="1419" w:y="6408" w:anchorLock="1"/>
        <w:spacing w:line="760" w:lineRule="exact"/>
        <w:ind w:left="-1418"/>
      </w:pPr>
    </w:p>
    <w:p w14:paraId="0938B5DB">
      <w:pPr>
        <w:pStyle w:val="129"/>
        <w:framePr w:w="9639" w:h="6974" w:hRule="exact" w:wrap="around" w:vAnchor="page" w:hAnchor="page" w:x="1419" w:y="6408" w:anchorLock="1"/>
        <w:textAlignment w:val="bottom"/>
        <w:rPr>
          <w:rFonts w:eastAsia="黑体"/>
          <w:szCs w:val="28"/>
        </w:rPr>
      </w:pPr>
    </w:p>
    <w:p w14:paraId="546FA305">
      <w:pPr>
        <w:pStyle w:val="129"/>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r>
        <w:rPr>
          <w:sz w:val="24"/>
          <w:szCs w:val="28"/>
        </w:rPr>
        <w:instrText xml:space="preserve"> FORMDROPDOWN </w:instrText>
      </w:r>
      <w:r>
        <w:rPr>
          <w:sz w:val="24"/>
          <w:szCs w:val="28"/>
        </w:rPr>
        <w:fldChar w:fldCharType="separate"/>
      </w:r>
      <w:r>
        <w:rPr>
          <w:sz w:val="24"/>
          <w:szCs w:val="28"/>
        </w:rPr>
        <w:fldChar w:fldCharType="end"/>
      </w:r>
    </w:p>
    <w:p w14:paraId="4F25B0DF">
      <w:pPr>
        <w:pStyle w:val="129"/>
        <w:framePr w:w="9639" w:h="6974" w:hRule="exact" w:wrap="around" w:vAnchor="page" w:hAnchor="page" w:x="1419" w:y="6408" w:anchorLock="1"/>
        <w:spacing w:before="180" w:line="240" w:lineRule="atLeast"/>
        <w:textAlignment w:val="bottom"/>
        <w:rPr>
          <w:sz w:val="21"/>
          <w:szCs w:val="28"/>
        </w:rPr>
      </w:pPr>
      <w:bookmarkStart w:id="11" w:name="CMPLSH_DATE"/>
      <w:r>
        <w:rPr>
          <w:rFonts w:hint="eastAsia"/>
          <w:sz w:val="21"/>
          <w:szCs w:val="28"/>
        </w:rPr>
        <w:fldChar w:fldCharType="begin">
          <w:ffData>
            <w:name w:val="CMPLSH_DATE"/>
            <w:enabled/>
            <w:calcOnExit w:val="0"/>
            <w:textInput>
              <w:default w:val="（本草案完成时间：2026.05.06）"/>
            </w:textInput>
          </w:ffData>
        </w:fldChar>
      </w:r>
      <w:r>
        <w:rPr>
          <w:rFonts w:hint="eastAsia"/>
          <w:sz w:val="21"/>
          <w:szCs w:val="28"/>
        </w:rPr>
        <w:instrText xml:space="preserve">FORMTEXT</w:instrText>
      </w:r>
      <w:r>
        <w:rPr>
          <w:rFonts w:hint="eastAsia"/>
          <w:sz w:val="21"/>
          <w:szCs w:val="28"/>
        </w:rPr>
        <w:fldChar w:fldCharType="separate"/>
      </w:r>
      <w:r>
        <w:rPr>
          <w:rFonts w:hint="eastAsia"/>
          <w:sz w:val="21"/>
          <w:szCs w:val="28"/>
        </w:rPr>
        <w:t>（本草案完成时间：2026.05.06）</w:t>
      </w:r>
      <w:r>
        <w:rPr>
          <w:rFonts w:hint="eastAsia"/>
          <w:sz w:val="21"/>
          <w:szCs w:val="28"/>
        </w:rPr>
        <w:fldChar w:fldCharType="end"/>
      </w:r>
      <w:bookmarkEnd w:id="11"/>
    </w:p>
    <w:p w14:paraId="0011E754">
      <w:pPr>
        <w:pStyle w:val="129"/>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r>
        <w:rPr>
          <w:b/>
          <w:sz w:val="21"/>
          <w:szCs w:val="28"/>
        </w:rPr>
        <w:instrText xml:space="preserve"> FORMDROPDOWN </w:instrText>
      </w:r>
      <w:r>
        <w:rPr>
          <w:b/>
          <w:sz w:val="21"/>
          <w:szCs w:val="28"/>
        </w:rPr>
        <w:fldChar w:fldCharType="separate"/>
      </w:r>
      <w:r>
        <w:rPr>
          <w:b/>
          <w:sz w:val="21"/>
          <w:szCs w:val="28"/>
        </w:rPr>
        <w:fldChar w:fldCharType="end"/>
      </w:r>
    </w:p>
    <w:p w14:paraId="457F7E90">
      <w:pPr>
        <w:pStyle w:val="198"/>
        <w:framePr w:wrap="around" w:x="7105" w:y="13976"/>
      </w:pPr>
      <w:r>
        <w:rPr>
          <w:rFonts w:ascii="黑体"/>
        </w:rPr>
        <w:fldChar w:fldCharType="begin">
          <w:ffData>
            <w:name w:val="CROT_DATE_Y"/>
            <w:enabled/>
            <w:calcOnExit w:val="0"/>
            <w:textInput>
              <w:default w:val="XXXX"/>
              <w:maxLength w:val="4"/>
            </w:textInput>
          </w:ffData>
        </w:fldChar>
      </w:r>
      <w:r>
        <w:rPr>
          <w:rFonts w:ascii="黑体"/>
        </w:rPr>
        <w:instrText xml:space="preserve"> FORMTEXT </w:instrText>
      </w:r>
      <w:r>
        <w:rPr>
          <w:rFonts w:ascii="黑体"/>
        </w:rPr>
        <w:fldChar w:fldCharType="separate"/>
      </w:r>
      <w:r>
        <w:rPr>
          <w:rFonts w:ascii="黑体"/>
        </w:rPr>
        <w:t>2026</w:t>
      </w:r>
      <w:r>
        <w:rPr>
          <w:rFonts w:ascii="黑体"/>
        </w:rPr>
        <w:fldChar w:fldCharType="end"/>
      </w:r>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r>
        <w:rPr>
          <w:rFonts w:hint="eastAsia"/>
        </w:rPr>
        <w:t>实施</w:t>
      </w:r>
    </w:p>
    <w:p w14:paraId="61C07EEA">
      <w:pPr>
        <w:pStyle w:val="155"/>
        <w:framePr w:h="584" w:hRule="exact" w:hSpace="181" w:vSpace="181" w:wrap="around" w:vAnchor="page" w:hAnchor="page" w:x="2329" w:y="15105"/>
        <w:rPr>
          <w:rFonts w:hAnsi="黑体"/>
        </w:rPr>
      </w:pPr>
      <w:r>
        <w:rPr>
          <w:rFonts w:hAnsi="黑体"/>
          <w:w w:val="100"/>
          <w:sz w:val="28"/>
        </w:rPr>
        <w:fldChar w:fldCharType="begin">
          <w:ffData>
            <w:name w:val="fm"/>
            <w:enabled/>
            <w:calcOnExit w:val="0"/>
            <w:textInput/>
          </w:ffData>
        </w:fldChar>
      </w:r>
      <w:bookmarkStart w:id="12" w:name="fm"/>
      <w:r>
        <w:rPr>
          <w:rFonts w:hAnsi="黑体"/>
          <w:w w:val="100"/>
          <w:sz w:val="28"/>
        </w:rPr>
        <w:instrText xml:space="preserve"> FORMTEXT </w:instrText>
      </w:r>
      <w:r>
        <w:rPr>
          <w:rFonts w:hAnsi="黑体"/>
          <w:w w:val="100"/>
          <w:sz w:val="28"/>
        </w:rPr>
        <w:fldChar w:fldCharType="separate"/>
      </w:r>
      <w:r>
        <w:rPr>
          <w:rFonts w:hint="eastAsia" w:hAnsi="黑体"/>
          <w:w w:val="100"/>
          <w:sz w:val="28"/>
        </w:rPr>
        <w:t>中国电力建设企业协会</w:t>
      </w:r>
      <w:r>
        <w:rPr>
          <w:rFonts w:hAnsi="黑体"/>
          <w:w w:val="100"/>
          <w:sz w:val="28"/>
        </w:rPr>
        <w:fldChar w:fldCharType="end"/>
      </w:r>
      <w:bookmarkEnd w:id="12"/>
      <w:r>
        <w:rPr>
          <w:rFonts w:ascii="Times New Roman"/>
          <w:w w:val="100"/>
          <w:sz w:val="28"/>
        </w:rPr>
        <w:t>  </w:t>
      </w:r>
      <w:r>
        <w:rPr>
          <w:rStyle w:val="233"/>
          <w:rFonts w:hint="eastAsia" w:hAnsi="黑体"/>
          <w:position w:val="0"/>
        </w:rPr>
        <w:t>发</w:t>
      </w:r>
      <w:r>
        <w:rPr>
          <w:rStyle w:val="233"/>
          <w:rFonts w:hint="eastAsia" w:hAnsi="黑体"/>
          <w:spacing w:val="0"/>
          <w:position w:val="0"/>
        </w:rPr>
        <w:t>布</w:t>
      </w:r>
    </w:p>
    <w:p w14:paraId="3BAE8C63">
      <w:pPr>
        <w:pStyle w:val="95"/>
        <w:spacing w:after="360"/>
        <w:rPr>
          <w:spacing w:val="320"/>
        </w:rPr>
      </w:pPr>
    </w:p>
    <w:p w14:paraId="26A60674">
      <w:pPr>
        <w:pStyle w:val="197"/>
        <w:framePr w:wrap="around" w:x="1451" w:y="13893"/>
      </w:pPr>
      <w:r>
        <w:rPr>
          <w:rFonts w:ascii="黑体"/>
        </w:rPr>
        <w:fldChar w:fldCharType="begin">
          <w:ffData>
            <w:name w:val="PLSH_DATE_Y"/>
            <w:enabled/>
            <w:calcOnExit w:val="0"/>
            <w:textInput>
              <w:default w:val="XXXX"/>
              <w:maxLength w:val="4"/>
            </w:textInput>
          </w:ffData>
        </w:fldChar>
      </w:r>
      <w:r>
        <w:rPr>
          <w:rFonts w:ascii="黑体"/>
        </w:rPr>
        <w:instrText xml:space="preserve"> FORMTEXT </w:instrText>
      </w:r>
      <w:r>
        <w:rPr>
          <w:rFonts w:ascii="黑体"/>
        </w:rPr>
        <w:fldChar w:fldCharType="separate"/>
      </w:r>
      <w:r>
        <w:rPr>
          <w:rFonts w:ascii="黑体"/>
        </w:rPr>
        <w:t>2026</w:t>
      </w:r>
      <w:r>
        <w:rPr>
          <w:rFonts w:ascii="黑体"/>
        </w:rPr>
        <w:fldChar w:fldCharType="end"/>
      </w:r>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r>
        <w:rPr>
          <w:rFonts w:hint="eastAsia"/>
        </w:rPr>
        <w:t>发布</w:t>
      </w:r>
    </w:p>
    <w:p w14:paraId="53B13D9E">
      <w:pPr>
        <w:pStyle w:val="20"/>
      </w:pPr>
    </w:p>
    <w:p w14:paraId="3B3DD02F">
      <w:pPr>
        <w:pStyle w:val="20"/>
      </w:pPr>
    </w:p>
    <w:p w14:paraId="1A8A9EEF">
      <w:pPr>
        <w:pStyle w:val="20"/>
      </w:pPr>
    </w:p>
    <w:p w14:paraId="56007591">
      <w:pPr>
        <w:pStyle w:val="95"/>
        <w:spacing w:after="360"/>
        <w:rPr>
          <w:spacing w:val="320"/>
        </w:rPr>
        <w:sectPr>
          <w:headerReference r:id="rId3" w:type="default"/>
          <w:headerReference r:id="rId4" w:type="even"/>
          <w:pgSz w:w="11906" w:h="16838"/>
          <w:pgMar w:top="1928" w:right="1134" w:bottom="1134" w:left="1134" w:header="1418" w:footer="1134" w:gutter="284"/>
          <w:pgNumType w:fmt="upperRoman" w:start="1"/>
          <w:cols w:space="425" w:num="1"/>
          <w:formProt w:val="0"/>
          <w:titlePg/>
          <w:docGrid w:linePitch="312" w:charSpace="0"/>
        </w:sectPr>
      </w:pPr>
    </w:p>
    <w:p w14:paraId="07C4C279">
      <w:pPr>
        <w:pStyle w:val="95"/>
        <w:spacing w:after="360"/>
      </w:pPr>
      <w:r>
        <w:rPr>
          <w:rFonts w:hint="eastAsia"/>
          <w:spacing w:val="320"/>
        </w:rPr>
        <w:t>目</w:t>
      </w:r>
      <w:r>
        <w:rPr>
          <w:rFonts w:hint="eastAsia"/>
        </w:rPr>
        <w:t>次</w:t>
      </w:r>
    </w:p>
    <w:p w14:paraId="2F8C0EDE">
      <w:pPr>
        <w:pStyle w:val="20"/>
        <w:tabs>
          <w:tab w:val="right" w:leader="dot" w:pos="9354"/>
          <w:tab w:val="clear" w:pos="9344"/>
        </w:tabs>
      </w:pPr>
      <w:r>
        <w:fldChar w:fldCharType="begin"/>
      </w:r>
      <w:r>
        <w:instrText xml:space="preserve"> TOC \o "1-1" \h </w:instrText>
      </w:r>
      <w:r>
        <w:fldChar w:fldCharType="separate"/>
      </w:r>
      <w:r>
        <w:fldChar w:fldCharType="begin"/>
      </w:r>
      <w:r>
        <w:instrText xml:space="preserve"> HYPERLINK \l "_Toc15491" </w:instrText>
      </w:r>
      <w:r>
        <w:fldChar w:fldCharType="separate"/>
      </w:r>
      <w:r>
        <w:rPr>
          <w:rFonts w:hint="eastAsia"/>
        </w:rPr>
        <w:t>前</w:t>
      </w:r>
      <w:r>
        <w:t>言</w:t>
      </w:r>
      <w:r>
        <w:tab/>
      </w:r>
      <w:r>
        <w:fldChar w:fldCharType="begin"/>
      </w:r>
      <w:r>
        <w:instrText xml:space="preserve"> PAGEREF _Toc15491 \h </w:instrText>
      </w:r>
      <w:r>
        <w:fldChar w:fldCharType="separate"/>
      </w:r>
      <w:r>
        <w:t>II</w:t>
      </w:r>
      <w:r>
        <w:fldChar w:fldCharType="end"/>
      </w:r>
      <w:r>
        <w:fldChar w:fldCharType="end"/>
      </w:r>
    </w:p>
    <w:p w14:paraId="0934C967">
      <w:pPr>
        <w:pStyle w:val="20"/>
        <w:tabs>
          <w:tab w:val="right" w:leader="dot" w:pos="9354"/>
          <w:tab w:val="clear" w:pos="9344"/>
        </w:tabs>
      </w:pPr>
      <w:r>
        <w:fldChar w:fldCharType="begin"/>
      </w:r>
      <w:r>
        <w:instrText xml:space="preserve"> HYPERLINK \l "_Toc11988" </w:instrText>
      </w:r>
      <w:r>
        <w:fldChar w:fldCharType="separate"/>
      </w:r>
      <w:r>
        <w:rPr>
          <w:rFonts w:hint="eastAsia" w:ascii="黑体" w:eastAsia="黑体"/>
        </w:rPr>
        <w:t xml:space="preserve">1 </w:t>
      </w:r>
      <w:r>
        <w:rPr>
          <w:rFonts w:hint="eastAsia"/>
        </w:rPr>
        <w:t>范围</w:t>
      </w:r>
      <w:r>
        <w:tab/>
      </w:r>
      <w:r>
        <w:fldChar w:fldCharType="begin"/>
      </w:r>
      <w:r>
        <w:instrText xml:space="preserve"> PAGEREF _Toc11988 \h </w:instrText>
      </w:r>
      <w:r>
        <w:fldChar w:fldCharType="separate"/>
      </w:r>
      <w:r>
        <w:t>1</w:t>
      </w:r>
      <w:r>
        <w:fldChar w:fldCharType="end"/>
      </w:r>
      <w:r>
        <w:fldChar w:fldCharType="end"/>
      </w:r>
    </w:p>
    <w:p w14:paraId="5A4975D1">
      <w:pPr>
        <w:pStyle w:val="20"/>
        <w:tabs>
          <w:tab w:val="right" w:leader="dot" w:pos="9354"/>
          <w:tab w:val="clear" w:pos="9344"/>
        </w:tabs>
      </w:pPr>
      <w:r>
        <w:fldChar w:fldCharType="begin"/>
      </w:r>
      <w:r>
        <w:instrText xml:space="preserve"> HYPERLINK \l "_Toc14437" </w:instrText>
      </w:r>
      <w:r>
        <w:fldChar w:fldCharType="separate"/>
      </w:r>
      <w:r>
        <w:rPr>
          <w:rFonts w:hint="eastAsia" w:ascii="黑体" w:hAnsi="Times New Roman" w:eastAsia="黑体"/>
        </w:rPr>
        <w:t xml:space="preserve">2 </w:t>
      </w:r>
      <w:r>
        <w:rPr>
          <w:rFonts w:hint="eastAsia" w:hAnsi="Times New Roman"/>
        </w:rPr>
        <w:t>规范性引用文件</w:t>
      </w:r>
      <w:r>
        <w:tab/>
      </w:r>
      <w:r>
        <w:fldChar w:fldCharType="begin"/>
      </w:r>
      <w:r>
        <w:instrText xml:space="preserve"> PAGEREF _Toc14437 \h </w:instrText>
      </w:r>
      <w:r>
        <w:fldChar w:fldCharType="separate"/>
      </w:r>
      <w:r>
        <w:t>1</w:t>
      </w:r>
      <w:r>
        <w:fldChar w:fldCharType="end"/>
      </w:r>
      <w:r>
        <w:fldChar w:fldCharType="end"/>
      </w:r>
    </w:p>
    <w:p w14:paraId="6DB22411">
      <w:pPr>
        <w:pStyle w:val="20"/>
        <w:tabs>
          <w:tab w:val="right" w:leader="dot" w:pos="9354"/>
          <w:tab w:val="clear" w:pos="9344"/>
        </w:tabs>
      </w:pPr>
      <w:r>
        <w:fldChar w:fldCharType="begin"/>
      </w:r>
      <w:r>
        <w:instrText xml:space="preserve"> HYPERLINK \l "_Toc22675" </w:instrText>
      </w:r>
      <w:r>
        <w:fldChar w:fldCharType="separate"/>
      </w:r>
      <w:r>
        <w:rPr>
          <w:rFonts w:hint="eastAsia" w:ascii="黑体" w:eastAsia="黑体"/>
        </w:rPr>
        <w:t xml:space="preserve">3 </w:t>
      </w:r>
      <w:r>
        <w:rPr>
          <w:rFonts w:hint="eastAsia"/>
        </w:rPr>
        <w:t>术语和定义</w:t>
      </w:r>
      <w:r>
        <w:tab/>
      </w:r>
      <w:r>
        <w:fldChar w:fldCharType="begin"/>
      </w:r>
      <w:r>
        <w:instrText xml:space="preserve"> PAGEREF _Toc22675 \h </w:instrText>
      </w:r>
      <w:r>
        <w:fldChar w:fldCharType="separate"/>
      </w:r>
      <w:r>
        <w:t>1</w:t>
      </w:r>
      <w:r>
        <w:fldChar w:fldCharType="end"/>
      </w:r>
      <w:r>
        <w:fldChar w:fldCharType="end"/>
      </w:r>
    </w:p>
    <w:p w14:paraId="3321962F">
      <w:pPr>
        <w:pStyle w:val="20"/>
        <w:tabs>
          <w:tab w:val="right" w:leader="dot" w:pos="9354"/>
          <w:tab w:val="clear" w:pos="9344"/>
        </w:tabs>
      </w:pPr>
      <w:r>
        <w:fldChar w:fldCharType="begin"/>
      </w:r>
      <w:r>
        <w:instrText xml:space="preserve"> HYPERLINK \l "_Toc26132" </w:instrText>
      </w:r>
      <w:r>
        <w:fldChar w:fldCharType="separate"/>
      </w:r>
      <w:r>
        <w:rPr>
          <w:rFonts w:hint="eastAsia" w:ascii="黑体" w:hAnsi="Times New Roman" w:eastAsia="黑体"/>
        </w:rPr>
        <w:t xml:space="preserve">4 </w:t>
      </w:r>
      <w:r>
        <w:rPr>
          <w:rFonts w:hint="eastAsia" w:hAnsi="Times New Roman"/>
        </w:rPr>
        <w:t>基本原则</w:t>
      </w:r>
      <w:r>
        <w:tab/>
      </w:r>
      <w:r>
        <w:fldChar w:fldCharType="begin"/>
      </w:r>
      <w:r>
        <w:instrText xml:space="preserve"> PAGEREF _Toc26132 \h </w:instrText>
      </w:r>
      <w:r>
        <w:fldChar w:fldCharType="separate"/>
      </w:r>
      <w:r>
        <w:t>2</w:t>
      </w:r>
      <w:r>
        <w:fldChar w:fldCharType="end"/>
      </w:r>
      <w:r>
        <w:fldChar w:fldCharType="end"/>
      </w:r>
    </w:p>
    <w:p w14:paraId="2AD79926">
      <w:pPr>
        <w:pStyle w:val="20"/>
        <w:tabs>
          <w:tab w:val="right" w:leader="dot" w:pos="9354"/>
          <w:tab w:val="clear" w:pos="9344"/>
        </w:tabs>
      </w:pPr>
      <w:r>
        <w:fldChar w:fldCharType="begin"/>
      </w:r>
      <w:r>
        <w:instrText xml:space="preserve"> HYPERLINK \l "_Toc17758" </w:instrText>
      </w:r>
      <w:r>
        <w:fldChar w:fldCharType="separate"/>
      </w:r>
      <w:r>
        <w:rPr>
          <w:rFonts w:hint="eastAsia" w:ascii="黑体" w:hAnsi="Times New Roman" w:eastAsia="黑体"/>
        </w:rPr>
        <w:t xml:space="preserve">5 </w:t>
      </w:r>
      <w:r>
        <w:rPr>
          <w:rFonts w:hint="eastAsia" w:hAnsi="Times New Roman"/>
        </w:rPr>
        <w:t>设计与改造</w:t>
      </w:r>
      <w:r>
        <w:tab/>
      </w:r>
      <w:r>
        <w:fldChar w:fldCharType="begin"/>
      </w:r>
      <w:r>
        <w:instrText xml:space="preserve"> PAGEREF _Toc17758 \h </w:instrText>
      </w:r>
      <w:r>
        <w:fldChar w:fldCharType="separate"/>
      </w:r>
      <w:r>
        <w:t>2</w:t>
      </w:r>
      <w:r>
        <w:fldChar w:fldCharType="end"/>
      </w:r>
      <w:r>
        <w:fldChar w:fldCharType="end"/>
      </w:r>
    </w:p>
    <w:p w14:paraId="6344A22D">
      <w:pPr>
        <w:pStyle w:val="20"/>
        <w:tabs>
          <w:tab w:val="right" w:leader="dot" w:pos="9354"/>
          <w:tab w:val="clear" w:pos="9344"/>
        </w:tabs>
      </w:pPr>
      <w:r>
        <w:fldChar w:fldCharType="begin"/>
      </w:r>
      <w:r>
        <w:instrText xml:space="preserve"> HYPERLINK \l "_Toc23115" </w:instrText>
      </w:r>
      <w:r>
        <w:fldChar w:fldCharType="separate"/>
      </w:r>
      <w:r>
        <w:rPr>
          <w:rFonts w:hint="eastAsia" w:ascii="黑体" w:eastAsia="黑体"/>
        </w:rPr>
        <w:t xml:space="preserve">6 </w:t>
      </w:r>
      <w:r>
        <w:rPr>
          <w:rFonts w:hint="eastAsia"/>
        </w:rPr>
        <w:t>运行监控与维护</w:t>
      </w:r>
      <w:r>
        <w:tab/>
      </w:r>
      <w:r>
        <w:fldChar w:fldCharType="begin"/>
      </w:r>
      <w:r>
        <w:instrText xml:space="preserve"> PAGEREF _Toc23115 \h </w:instrText>
      </w:r>
      <w:r>
        <w:fldChar w:fldCharType="separate"/>
      </w:r>
      <w:r>
        <w:t>6</w:t>
      </w:r>
      <w:r>
        <w:fldChar w:fldCharType="end"/>
      </w:r>
      <w:r>
        <w:fldChar w:fldCharType="end"/>
      </w:r>
    </w:p>
    <w:p w14:paraId="5F4D0A71">
      <w:pPr>
        <w:pStyle w:val="20"/>
        <w:tabs>
          <w:tab w:val="right" w:leader="dot" w:pos="9354"/>
          <w:tab w:val="clear" w:pos="9344"/>
        </w:tabs>
      </w:pPr>
      <w:r>
        <w:fldChar w:fldCharType="begin"/>
      </w:r>
      <w:r>
        <w:instrText xml:space="preserve"> HYPERLINK \l "_Toc25751" </w:instrText>
      </w:r>
      <w:r>
        <w:fldChar w:fldCharType="separate"/>
      </w:r>
      <w:r>
        <w:rPr>
          <w:rFonts w:hint="eastAsia" w:ascii="黑体" w:eastAsia="黑体"/>
        </w:rPr>
        <w:t xml:space="preserve">7 </w:t>
      </w:r>
      <w:r>
        <w:rPr>
          <w:rFonts w:hint="eastAsia"/>
        </w:rPr>
        <w:t>设备管理与检修</w:t>
      </w:r>
      <w:r>
        <w:tab/>
      </w:r>
      <w:r>
        <w:fldChar w:fldCharType="begin"/>
      </w:r>
      <w:r>
        <w:instrText xml:space="preserve"> PAGEREF _Toc25751 \h </w:instrText>
      </w:r>
      <w:r>
        <w:fldChar w:fldCharType="separate"/>
      </w:r>
      <w:r>
        <w:t>9</w:t>
      </w:r>
      <w:r>
        <w:fldChar w:fldCharType="end"/>
      </w:r>
      <w:r>
        <w:fldChar w:fldCharType="end"/>
      </w:r>
    </w:p>
    <w:p w14:paraId="0E68D331">
      <w:pPr>
        <w:pStyle w:val="20"/>
        <w:tabs>
          <w:tab w:val="right" w:leader="dot" w:pos="9354"/>
          <w:tab w:val="clear" w:pos="9344"/>
        </w:tabs>
      </w:pPr>
      <w:r>
        <w:fldChar w:fldCharType="begin"/>
      </w:r>
      <w:r>
        <w:instrText xml:space="preserve"> HYPERLINK \l "_Toc1577" </w:instrText>
      </w:r>
      <w:r>
        <w:fldChar w:fldCharType="separate"/>
      </w:r>
      <w:r>
        <w:rPr>
          <w:rFonts w:hint="eastAsia" w:ascii="黑体" w:eastAsia="黑体"/>
        </w:rPr>
        <w:t xml:space="preserve">8 </w:t>
      </w:r>
      <w:r>
        <w:rPr>
          <w:rFonts w:hint="eastAsia"/>
        </w:rPr>
        <w:t>应急管理</w:t>
      </w:r>
      <w:r>
        <w:tab/>
      </w:r>
      <w:r>
        <w:fldChar w:fldCharType="begin"/>
      </w:r>
      <w:r>
        <w:instrText xml:space="preserve"> PAGEREF _Toc1577 \h </w:instrText>
      </w:r>
      <w:r>
        <w:fldChar w:fldCharType="separate"/>
      </w:r>
      <w:r>
        <w:t>9</w:t>
      </w:r>
      <w:r>
        <w:fldChar w:fldCharType="end"/>
      </w:r>
      <w:r>
        <w:fldChar w:fldCharType="end"/>
      </w:r>
    </w:p>
    <w:p w14:paraId="5DB54437">
      <w:pPr>
        <w:pStyle w:val="95"/>
        <w:spacing w:after="360"/>
        <w:sectPr>
          <w:headerReference r:id="rId5" w:type="first"/>
          <w:footerReference r:id="rId7" w:type="first"/>
          <w:footerReference r:id="rId6" w:type="default"/>
          <w:pgSz w:w="11906" w:h="16838"/>
          <w:pgMar w:top="1928" w:right="1134" w:bottom="1134" w:left="1134" w:header="1418" w:footer="1134" w:gutter="284"/>
          <w:pgNumType w:fmt="upperRoman" w:start="1"/>
          <w:cols w:space="425" w:num="1"/>
          <w:formProt w:val="0"/>
          <w:titlePg/>
          <w:docGrid w:linePitch="312" w:charSpace="0"/>
        </w:sectPr>
      </w:pPr>
      <w:r>
        <w:fldChar w:fldCharType="end"/>
      </w:r>
    </w:p>
    <w:bookmarkEnd w:id="0"/>
    <w:p w14:paraId="09545559">
      <w:pPr>
        <w:pStyle w:val="93"/>
        <w:spacing w:before="900" w:after="360" w:afterLines="150"/>
      </w:pPr>
      <w:bookmarkStart w:id="13" w:name="_Toc15491"/>
      <w:bookmarkStart w:id="14" w:name="BookMark2"/>
      <w:r>
        <w:rPr>
          <w:spacing w:val="320"/>
        </w:rPr>
        <w:t>前</w:t>
      </w:r>
      <w:r>
        <w:t>言</w:t>
      </w:r>
      <w:bookmarkEnd w:id="1"/>
      <w:bookmarkEnd w:id="2"/>
      <w:bookmarkEnd w:id="3"/>
      <w:bookmarkEnd w:id="4"/>
      <w:bookmarkEnd w:id="5"/>
      <w:bookmarkEnd w:id="13"/>
    </w:p>
    <w:p w14:paraId="52A04C7F">
      <w:pPr>
        <w:pStyle w:val="60"/>
        <w:adjustRightInd w:val="0"/>
        <w:snapToGrid w:val="0"/>
        <w:spacing w:line="360" w:lineRule="auto"/>
      </w:pPr>
      <w:r>
        <w:rPr>
          <w:rFonts w:hint="eastAsia"/>
        </w:rPr>
        <w:t>本文件按照GB/T 1.1—2020《标准化工作导则  第1部分：标准化文件的结构和起草规则》的规定起草。</w:t>
      </w:r>
    </w:p>
    <w:p w14:paraId="50B7F544">
      <w:pPr>
        <w:pStyle w:val="60"/>
        <w:adjustRightInd w:val="0"/>
        <w:snapToGrid w:val="0"/>
        <w:spacing w:line="360" w:lineRule="auto"/>
      </w:pPr>
      <w:r>
        <w:rPr>
          <w:rFonts w:hint="eastAsia"/>
        </w:rPr>
        <w:t>请注意本文件的某些内容可能涉及专利。本文件的发布机构不承担识别专利的责任。</w:t>
      </w:r>
    </w:p>
    <w:p w14:paraId="127F9DFA">
      <w:pPr>
        <w:pStyle w:val="60"/>
        <w:adjustRightInd w:val="0"/>
        <w:snapToGrid w:val="0"/>
        <w:spacing w:line="360" w:lineRule="auto"/>
      </w:pPr>
      <w:r>
        <w:rPr>
          <w:rFonts w:hint="eastAsia"/>
        </w:rPr>
        <w:t>本文件由中国电力建设企业协会提出并归口。</w:t>
      </w:r>
    </w:p>
    <w:p w14:paraId="01645F81">
      <w:pPr>
        <w:pStyle w:val="60"/>
        <w:adjustRightInd w:val="0"/>
        <w:snapToGrid w:val="0"/>
        <w:spacing w:line="360" w:lineRule="auto"/>
      </w:pPr>
      <w:r>
        <w:rPr>
          <w:rFonts w:hint="eastAsia"/>
        </w:rPr>
        <w:t>本文件起草单位：</w:t>
      </w:r>
    </w:p>
    <w:p w14:paraId="5B46B421">
      <w:pPr>
        <w:pStyle w:val="60"/>
        <w:adjustRightInd w:val="0"/>
        <w:snapToGrid w:val="0"/>
        <w:spacing w:line="360" w:lineRule="auto"/>
      </w:pPr>
      <w:r>
        <w:rPr>
          <w:rFonts w:hint="eastAsia"/>
        </w:rPr>
        <w:t>本文件主要起草人：</w:t>
      </w:r>
    </w:p>
    <w:p w14:paraId="616DCBD3">
      <w:pPr>
        <w:pStyle w:val="60"/>
        <w:adjustRightInd w:val="0"/>
        <w:snapToGrid w:val="0"/>
        <w:spacing w:line="360" w:lineRule="auto"/>
      </w:pPr>
      <w:r>
        <w:rPr>
          <w:rFonts w:hint="eastAsia"/>
        </w:rPr>
        <w:t>本文件主要审查人：</w:t>
      </w:r>
    </w:p>
    <w:p w14:paraId="6E894468">
      <w:pPr>
        <w:pStyle w:val="60"/>
        <w:adjustRightInd w:val="0"/>
        <w:snapToGrid w:val="0"/>
        <w:spacing w:line="360" w:lineRule="auto"/>
        <w:sectPr>
          <w:pgSz w:w="11906" w:h="16838"/>
          <w:pgMar w:top="1928" w:right="1134" w:bottom="1134" w:left="1134" w:header="1418" w:footer="1134" w:gutter="284"/>
          <w:pgNumType w:fmt="upperRoman"/>
          <w:cols w:space="425" w:num="1"/>
          <w:formProt w:val="0"/>
          <w:docGrid w:linePitch="312" w:charSpace="0"/>
        </w:sectPr>
      </w:pPr>
      <w:r>
        <w:rPr>
          <w:rFonts w:hint="eastAsia"/>
        </w:rPr>
        <w:t>本文件在执行过程中的意见或建议反馈至中国电力建设企业协会（北京市丰台区西四环南路35号中都科技大厦3层）</w:t>
      </w:r>
    </w:p>
    <w:bookmarkEnd w:id="14"/>
    <w:p w14:paraId="5B029567">
      <w:pPr>
        <w:spacing w:line="20" w:lineRule="exact"/>
        <w:jc w:val="center"/>
        <w:rPr>
          <w:rFonts w:ascii="黑体" w:hAnsi="黑体" w:eastAsia="黑体"/>
          <w:sz w:val="32"/>
          <w:szCs w:val="32"/>
        </w:rPr>
      </w:pPr>
      <w:bookmarkStart w:id="15" w:name="BookMark4"/>
    </w:p>
    <w:p w14:paraId="6A7270AF">
      <w:pPr>
        <w:spacing w:line="20" w:lineRule="exact"/>
        <w:jc w:val="center"/>
        <w:rPr>
          <w:rFonts w:ascii="黑体" w:hAnsi="黑体" w:eastAsia="黑体"/>
          <w:sz w:val="32"/>
          <w:szCs w:val="32"/>
        </w:rPr>
      </w:pPr>
    </w:p>
    <w:sdt>
      <w:sdtPr>
        <w:rPr>
          <w:rFonts w:hint="eastAsia"/>
        </w:rPr>
        <w:tag w:val="NEW_STAND_NAME"/>
        <w:id w:val="595910757"/>
        <w:lock w:val="sdtLocked"/>
        <w:placeholder>
          <w:docPart w:val="E95282C780534EED9CD8A66177945549"/>
        </w:placeholder>
      </w:sdtPr>
      <w:sdtEndPr>
        <w:rPr>
          <w:rFonts w:hint="eastAsia"/>
        </w:rPr>
      </w:sdtEndPr>
      <w:sdtContent>
        <w:p w14:paraId="18E6C197">
          <w:pPr>
            <w:pStyle w:val="181"/>
            <w:spacing w:before="240" w:beforeLines="100" w:after="528" w:afterLines="220"/>
          </w:pPr>
          <w:bookmarkStart w:id="16" w:name="NEW_STAND_NAME"/>
          <w:r>
            <w:rPr>
              <w:rFonts w:hint="eastAsia"/>
            </w:rPr>
            <w:t>燃煤发电机组深度调峰安全防范技术规范</w:t>
          </w:r>
        </w:p>
      </w:sdtContent>
    </w:sdt>
    <w:bookmarkEnd w:id="16"/>
    <w:p w14:paraId="1CAC447A">
      <w:pPr>
        <w:pStyle w:val="108"/>
        <w:spacing w:before="240" w:after="240"/>
      </w:pPr>
      <w:bookmarkStart w:id="17" w:name="_Toc24884218"/>
      <w:bookmarkStart w:id="18" w:name="_Toc176966295"/>
      <w:bookmarkStart w:id="19" w:name="_Toc26986771"/>
      <w:bookmarkStart w:id="20" w:name="_Toc24884211"/>
      <w:bookmarkStart w:id="21" w:name="_Toc26718930"/>
      <w:bookmarkStart w:id="22" w:name="_Toc26648465"/>
      <w:bookmarkStart w:id="23" w:name="_Toc11988"/>
      <w:bookmarkStart w:id="24" w:name="_Toc17233325"/>
      <w:bookmarkStart w:id="25" w:name="_Toc172101662"/>
      <w:bookmarkStart w:id="26" w:name="_Toc17233333"/>
      <w:bookmarkStart w:id="27" w:name="_Toc26986530"/>
      <w:bookmarkStart w:id="28" w:name="_Toc97192964"/>
      <w:bookmarkStart w:id="29" w:name="_Toc174605309"/>
      <w:bookmarkStart w:id="30" w:name="_Toc172101675"/>
      <w:bookmarkStart w:id="31" w:name="_Toc169701446"/>
      <w:r>
        <w:rPr>
          <w:rFonts w:hint="eastAsia"/>
        </w:rPr>
        <w:t>范围</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262BF534">
      <w:pPr>
        <w:pStyle w:val="166"/>
        <w:numPr>
          <w:ilvl w:val="0"/>
          <w:numId w:val="0"/>
        </w:numPr>
        <w:adjustRightInd w:val="0"/>
        <w:snapToGrid w:val="0"/>
        <w:spacing w:line="360" w:lineRule="auto"/>
        <w:ind w:firstLine="420" w:firstLineChars="200"/>
      </w:pPr>
      <w:bookmarkStart w:id="32" w:name="_Toc26648466"/>
      <w:bookmarkStart w:id="33" w:name="_Toc17233334"/>
      <w:bookmarkStart w:id="34" w:name="_Toc24884212"/>
      <w:bookmarkStart w:id="35" w:name="_Toc24884219"/>
      <w:bookmarkStart w:id="36" w:name="_Toc17233326"/>
      <w:r>
        <w:rPr>
          <w:rFonts w:hint="eastAsia"/>
        </w:rPr>
        <w:t>本文件规定了燃煤发电机组深度调峰安全防范的基本原则、设计与现场改造、设备管理、运行监控等技术要求。</w:t>
      </w:r>
    </w:p>
    <w:p w14:paraId="017D0F85">
      <w:pPr>
        <w:pStyle w:val="166"/>
        <w:numPr>
          <w:ilvl w:val="0"/>
          <w:numId w:val="0"/>
        </w:numPr>
        <w:adjustRightInd w:val="0"/>
        <w:snapToGrid w:val="0"/>
        <w:spacing w:line="360" w:lineRule="auto"/>
        <w:ind w:firstLine="420" w:firstLineChars="200"/>
      </w:pPr>
      <w:r>
        <w:rPr>
          <w:rFonts w:hint="eastAsia"/>
        </w:rPr>
        <w:t>本文件适用于燃煤发电机组锅炉、汽轮机、发电机及配套辅机、环保系统的深度调峰安全防范，涵盖新建机组设计、现役机组灵活性改造、深度调峰运行与检修全流程。</w:t>
      </w:r>
    </w:p>
    <w:p w14:paraId="6AAFEB93">
      <w:pPr>
        <w:pStyle w:val="108"/>
        <w:spacing w:before="240" w:after="240"/>
      </w:pPr>
      <w:bookmarkStart w:id="37" w:name="_Toc14437"/>
      <w:bookmarkStart w:id="38" w:name="_Toc174605310"/>
      <w:bookmarkStart w:id="39" w:name="_Toc169701447"/>
      <w:bookmarkStart w:id="40" w:name="_Toc26718931"/>
      <w:bookmarkStart w:id="41" w:name="_Toc26986772"/>
      <w:bookmarkStart w:id="42" w:name="_Toc26986531"/>
      <w:bookmarkStart w:id="43" w:name="_Toc176966296"/>
      <w:bookmarkStart w:id="44" w:name="_Toc97192965"/>
      <w:bookmarkStart w:id="45" w:name="_Toc172101676"/>
      <w:bookmarkStart w:id="46" w:name="_Toc172101663"/>
      <w:r>
        <w:rPr>
          <w:rFonts w:hint="eastAsia"/>
        </w:rPr>
        <w:t>规范性引用文件</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sdt>
      <w:sdtPr>
        <w:rPr>
          <w:rFonts w:hint="eastAsia"/>
        </w:rPr>
        <w:id w:val="715848253"/>
        <w:placeholder>
          <w:docPart w:val="7D4C5B62BE3748A8A185024F36B5A74D"/>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1DBEAD40">
          <w:pPr>
            <w:pStyle w:val="60"/>
            <w:spacing w:line="360" w:lineRule="auto"/>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4F61C4B8">
      <w:pPr>
        <w:pStyle w:val="60"/>
        <w:adjustRightInd w:val="0"/>
        <w:snapToGrid w:val="0"/>
        <w:spacing w:line="360" w:lineRule="auto"/>
      </w:pPr>
      <w:bookmarkStart w:id="47" w:name="_Toc169701448"/>
      <w:bookmarkStart w:id="48" w:name="_Toc172101664"/>
      <w:bookmarkStart w:id="49" w:name="_Toc176966297"/>
      <w:bookmarkStart w:id="50" w:name="_Toc174605311"/>
      <w:bookmarkStart w:id="51" w:name="_Toc97192966"/>
      <w:bookmarkStart w:id="52" w:name="_Toc172101677"/>
      <w:r>
        <w:rPr>
          <w:rFonts w:hint="eastAsia"/>
        </w:rPr>
        <w:t>GB/T 10184《电站锅炉性能试验规程》</w:t>
      </w:r>
    </w:p>
    <w:p w14:paraId="65320E23">
      <w:pPr>
        <w:pStyle w:val="60"/>
        <w:adjustRightInd w:val="0"/>
        <w:snapToGrid w:val="0"/>
        <w:spacing w:line="360" w:lineRule="auto"/>
      </w:pPr>
      <w:r>
        <w:rPr>
          <w:rFonts w:hint="eastAsia"/>
        </w:rPr>
        <w:t>GB/T 16157《固定污染源排气中颗粒物测定与气态污染源采样方法》</w:t>
      </w:r>
    </w:p>
    <w:p w14:paraId="0D438E53">
      <w:pPr>
        <w:pStyle w:val="60"/>
        <w:adjustRightInd w:val="0"/>
        <w:snapToGrid w:val="0"/>
        <w:spacing w:line="360" w:lineRule="auto"/>
      </w:pPr>
      <w:r>
        <w:rPr>
          <w:rFonts w:hint="eastAsia"/>
        </w:rPr>
        <w:t>GB/T 30370《火力发电机组一次调频试验及性能验收导则》</w:t>
      </w:r>
    </w:p>
    <w:p w14:paraId="6C8F238F">
      <w:pPr>
        <w:pStyle w:val="60"/>
        <w:adjustRightInd w:val="0"/>
        <w:snapToGrid w:val="0"/>
        <w:spacing w:line="360" w:lineRule="auto"/>
      </w:pPr>
      <w:r>
        <w:rPr>
          <w:rFonts w:hint="eastAsia"/>
        </w:rPr>
        <w:t>GB/T 40595《并网电源一次调频技术规定及试验导则》</w:t>
      </w:r>
    </w:p>
    <w:p w14:paraId="32B2AFC2">
      <w:pPr>
        <w:pStyle w:val="60"/>
        <w:adjustRightInd w:val="0"/>
        <w:snapToGrid w:val="0"/>
        <w:spacing w:line="360" w:lineRule="auto"/>
      </w:pPr>
      <w:r>
        <w:rPr>
          <w:rFonts w:hint="eastAsia"/>
        </w:rPr>
        <w:t>GB 8117.2《电站汽轮机热力性能验收试验规程》</w:t>
      </w:r>
    </w:p>
    <w:p w14:paraId="5FC18BC7">
      <w:pPr>
        <w:pStyle w:val="60"/>
        <w:adjustRightInd w:val="0"/>
        <w:snapToGrid w:val="0"/>
        <w:spacing w:line="360" w:lineRule="auto"/>
      </w:pPr>
      <w:r>
        <w:rPr>
          <w:rFonts w:hint="eastAsia"/>
        </w:rPr>
        <w:t>DL/T 467《电站磨煤机及制粉系统性能试验》</w:t>
      </w:r>
    </w:p>
    <w:p w14:paraId="3CBF7958">
      <w:pPr>
        <w:pStyle w:val="60"/>
        <w:adjustRightInd w:val="0"/>
        <w:snapToGrid w:val="0"/>
        <w:spacing w:line="360" w:lineRule="auto"/>
      </w:pPr>
      <w:r>
        <w:rPr>
          <w:rFonts w:hint="eastAsia"/>
        </w:rPr>
        <w:t>DL/T 469《电站锅炉风机现场性能试验》</w:t>
      </w:r>
    </w:p>
    <w:p w14:paraId="1B96E3A8">
      <w:pPr>
        <w:pStyle w:val="60"/>
        <w:adjustRightInd w:val="0"/>
        <w:snapToGrid w:val="0"/>
        <w:spacing w:line="360" w:lineRule="auto"/>
      </w:pPr>
      <w:r>
        <w:rPr>
          <w:rFonts w:hint="eastAsia"/>
        </w:rPr>
        <w:t>DL/T 657《火力发电厂模拟量控制系统验收测试规程》</w:t>
      </w:r>
    </w:p>
    <w:p w14:paraId="21ADA895">
      <w:pPr>
        <w:pStyle w:val="60"/>
        <w:adjustRightInd w:val="0"/>
        <w:snapToGrid w:val="0"/>
        <w:spacing w:line="360" w:lineRule="auto"/>
      </w:pPr>
      <w:r>
        <w:rPr>
          <w:rFonts w:hint="eastAsia"/>
        </w:rPr>
        <w:t>DL/T 1151.22《火力发电厂金属材料高温腐蚀试验方法》</w:t>
      </w:r>
    </w:p>
    <w:p w14:paraId="36E3E4A5">
      <w:pPr>
        <w:pStyle w:val="60"/>
        <w:adjustRightInd w:val="0"/>
        <w:snapToGrid w:val="0"/>
        <w:spacing w:line="360" w:lineRule="auto"/>
      </w:pPr>
      <w:r>
        <w:rPr>
          <w:rFonts w:hint="eastAsia"/>
        </w:rPr>
        <w:t>DL/T 1210《火力发电厂自动发电控制性能测试验收规程》</w:t>
      </w:r>
    </w:p>
    <w:p w14:paraId="246D6686">
      <w:pPr>
        <w:pStyle w:val="60"/>
        <w:adjustRightInd w:val="0"/>
        <w:snapToGrid w:val="0"/>
        <w:spacing w:line="360" w:lineRule="auto"/>
      </w:pPr>
      <w:r>
        <w:rPr>
          <w:rFonts w:hint="eastAsia"/>
        </w:rPr>
        <w:t>DL/T 2497《燃煤机组锅炉深度调峰能力评估试验导则》</w:t>
      </w:r>
    </w:p>
    <w:p w14:paraId="416FE73E">
      <w:pPr>
        <w:pStyle w:val="108"/>
        <w:spacing w:before="240" w:after="240"/>
      </w:pPr>
      <w:bookmarkStart w:id="53" w:name="_Toc22675"/>
      <w:r>
        <w:rPr>
          <w:rFonts w:hint="eastAsia"/>
          <w:szCs w:val="21"/>
        </w:rPr>
        <w:t>术语和定义</w:t>
      </w:r>
      <w:bookmarkEnd w:id="47"/>
      <w:bookmarkEnd w:id="48"/>
      <w:bookmarkEnd w:id="49"/>
      <w:bookmarkEnd w:id="50"/>
      <w:bookmarkEnd w:id="51"/>
      <w:bookmarkEnd w:id="52"/>
      <w:bookmarkEnd w:id="53"/>
    </w:p>
    <w:sdt>
      <w:sdtPr>
        <w:id w:val="-1909835108"/>
        <w:placeholder>
          <w:docPart w:val="D52E28A190F340F0A425E9C3719705AE"/>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079383AC">
          <w:pPr>
            <w:pStyle w:val="60"/>
          </w:pPr>
          <w:bookmarkStart w:id="54" w:name="_Toc26986532"/>
          <w:bookmarkEnd w:id="54"/>
          <w:r>
            <w:t>下列术语和定义适用于本文件。</w:t>
          </w:r>
        </w:p>
      </w:sdtContent>
    </w:sdt>
    <w:p w14:paraId="0437150C">
      <w:pPr>
        <w:pStyle w:val="109"/>
      </w:pPr>
      <w:r>
        <w:rPr>
          <w:rFonts w:hint="eastAsia"/>
        </w:rPr>
        <w:t>深度调峰 depth peaking</w:t>
      </w:r>
    </w:p>
    <w:p w14:paraId="17EE7763">
      <w:pPr>
        <w:pStyle w:val="60"/>
        <w:adjustRightInd w:val="0"/>
        <w:snapToGrid w:val="0"/>
        <w:spacing w:line="360" w:lineRule="auto"/>
      </w:pPr>
      <w:r>
        <w:rPr>
          <w:rFonts w:hint="eastAsia"/>
        </w:rPr>
        <w:t>发电机组电负荷低于基本调峰负荷（一般为50%额定负荷）运行的一种运行方式。</w:t>
      </w:r>
    </w:p>
    <w:p w14:paraId="4A5357F8">
      <w:pPr>
        <w:pStyle w:val="109"/>
      </w:pPr>
      <w:r>
        <w:rPr>
          <w:rFonts w:hint="eastAsia"/>
        </w:rPr>
        <w:t>深度调峰能力 depth peak-load regulation capacity</w:t>
      </w:r>
    </w:p>
    <w:p w14:paraId="3251C7C6">
      <w:pPr>
        <w:pStyle w:val="60"/>
        <w:adjustRightInd w:val="0"/>
        <w:snapToGrid w:val="0"/>
        <w:spacing w:line="360" w:lineRule="auto"/>
      </w:pPr>
      <w:r>
        <w:rPr>
          <w:rFonts w:hint="eastAsia"/>
        </w:rPr>
        <w:t>火电机组在电网调度指令下，能够安全、稳定、环保达标，降低出力并维持运行的低于基本调峰负荷的最大深度。</w:t>
      </w:r>
    </w:p>
    <w:p w14:paraId="0EF54EE3">
      <w:pPr>
        <w:pStyle w:val="109"/>
      </w:pPr>
      <w:r>
        <w:rPr>
          <w:rFonts w:hint="eastAsia"/>
        </w:rPr>
        <w:t>干湿态转换 wet-dry state conversion</w:t>
      </w:r>
    </w:p>
    <w:p w14:paraId="3D20E41D">
      <w:pPr>
        <w:pStyle w:val="60"/>
        <w:adjustRightInd w:val="0"/>
        <w:snapToGrid w:val="0"/>
        <w:spacing w:line="360" w:lineRule="auto"/>
      </w:pPr>
      <w:r>
        <w:rPr>
          <w:rFonts w:hint="eastAsia"/>
        </w:rPr>
        <w:t>直流锅炉在低负荷区间，由湿态运行（汽水分离器出口带水）向干态运行（汽水分离器出口微过热）转换，或反之的过程，转换过程中易发生汽温剧烈波动、受热面超温等风险，为深度调峰关键风险点。</w:t>
      </w:r>
    </w:p>
    <w:p w14:paraId="56D4BB14">
      <w:pPr>
        <w:pStyle w:val="109"/>
      </w:pPr>
      <w:r>
        <w:rPr>
          <w:rFonts w:hint="eastAsia"/>
        </w:rPr>
        <w:t>宽负荷脱硝 wide-load denitration</w:t>
      </w:r>
    </w:p>
    <w:p w14:paraId="66508BFE">
      <w:pPr>
        <w:pStyle w:val="60"/>
        <w:adjustRightInd w:val="0"/>
        <w:snapToGrid w:val="0"/>
        <w:spacing w:line="360" w:lineRule="auto"/>
      </w:pPr>
      <w:r>
        <w:rPr>
          <w:rFonts w:hint="eastAsia"/>
        </w:rPr>
        <w:t>在深度调峰低负荷工况下，通过技术措施使选择性催化还原（SCR）或者其他脱硝装置入口烟温仍能满足催化剂活性要求，保证脱硝系统正常投运的技术。</w:t>
      </w:r>
    </w:p>
    <w:p w14:paraId="21443678">
      <w:pPr>
        <w:pStyle w:val="108"/>
        <w:spacing w:before="240" w:after="240"/>
      </w:pPr>
      <w:bookmarkStart w:id="55" w:name="_Toc26132"/>
      <w:bookmarkStart w:id="56" w:name="_Toc176966298"/>
      <w:r>
        <w:rPr>
          <w:rFonts w:hint="eastAsia"/>
        </w:rPr>
        <w:t>基本原则</w:t>
      </w:r>
      <w:bookmarkEnd w:id="55"/>
      <w:bookmarkEnd w:id="56"/>
    </w:p>
    <w:p w14:paraId="670F5670">
      <w:pPr>
        <w:pStyle w:val="166"/>
        <w:adjustRightInd w:val="0"/>
        <w:snapToGrid w:val="0"/>
        <w:spacing w:line="360" w:lineRule="auto"/>
      </w:pPr>
      <w:r>
        <w:rPr>
          <w:rFonts w:hint="eastAsia"/>
        </w:rPr>
        <w:t>深度调峰应以人员安全、设备安全、电网安全、环保达标为前提，不应超设计、超边界运行。</w:t>
      </w:r>
    </w:p>
    <w:p w14:paraId="0C4251C2">
      <w:pPr>
        <w:pStyle w:val="166"/>
        <w:adjustRightInd w:val="0"/>
        <w:snapToGrid w:val="0"/>
        <w:spacing w:line="360" w:lineRule="auto"/>
      </w:pPr>
      <w:r>
        <w:rPr>
          <w:rFonts w:hint="eastAsia"/>
        </w:rPr>
        <w:t>发电企业应对机组灵活性改造的设计、施工、调试、运行、检修全过程进行严格管控，确保在安全、稳定的前提下实现机组深度调峰。</w:t>
      </w:r>
    </w:p>
    <w:p w14:paraId="6D4E256F">
      <w:pPr>
        <w:pStyle w:val="166"/>
        <w:adjustRightInd w:val="0"/>
        <w:snapToGrid w:val="0"/>
        <w:spacing w:line="360" w:lineRule="auto"/>
      </w:pPr>
      <w:r>
        <w:rPr>
          <w:rFonts w:hint="eastAsia"/>
        </w:rPr>
        <w:t>燃煤发电机组的深度调峰能力应根据燃煤煤质条件、机组型式及设计边界等确定，应符合DL/T 2497的要求，并根据电网调峰需求合理调用。</w:t>
      </w:r>
    </w:p>
    <w:p w14:paraId="40CA3C6C">
      <w:pPr>
        <w:pStyle w:val="166"/>
        <w:adjustRightInd w:val="0"/>
        <w:snapToGrid w:val="0"/>
        <w:spacing w:line="360" w:lineRule="auto"/>
      </w:pPr>
      <w:r>
        <w:rPr>
          <w:rFonts w:hint="eastAsia"/>
        </w:rPr>
        <w:t>应根据机组特点、燃用煤种、辅机配置等差异，制定“一机一策”改造方案、运行规程和检修策略。</w:t>
      </w:r>
    </w:p>
    <w:p w14:paraId="15190167">
      <w:pPr>
        <w:pStyle w:val="166"/>
        <w:adjustRightInd w:val="0"/>
        <w:snapToGrid w:val="0"/>
        <w:spacing w:line="360" w:lineRule="auto"/>
      </w:pPr>
      <w:r>
        <w:rPr>
          <w:rFonts w:hint="eastAsia"/>
        </w:rPr>
        <w:t>新建或进行灵活性改造的机组，宜采用成熟可靠的新材料、新工艺、新技术，提高深度调峰运行的安全裕度，并兼顾经济性与设备寿命。</w:t>
      </w:r>
    </w:p>
    <w:p w14:paraId="4C6CC1B5">
      <w:pPr>
        <w:pStyle w:val="166"/>
        <w:adjustRightInd w:val="0"/>
        <w:snapToGrid w:val="0"/>
        <w:spacing w:line="360" w:lineRule="auto"/>
      </w:pPr>
      <w:r>
        <w:rPr>
          <w:rFonts w:hint="eastAsia"/>
        </w:rPr>
        <w:t>发电企业应加强机组深度调峰工况下的运行监控、日常巡检和定期检测，防范低负荷下的安全风险。</w:t>
      </w:r>
    </w:p>
    <w:p w14:paraId="60F35191">
      <w:pPr>
        <w:pStyle w:val="166"/>
        <w:adjustRightInd w:val="0"/>
        <w:snapToGrid w:val="0"/>
        <w:spacing w:line="360" w:lineRule="auto"/>
      </w:pPr>
      <w:r>
        <w:rPr>
          <w:rFonts w:hint="eastAsia"/>
        </w:rPr>
        <w:t>深度调峰工况下，机组的一次调频、自动发电控制（AGC）、电力系统稳定器（PSS）等功能应可靠投入，性能满足电网要求。</w:t>
      </w:r>
    </w:p>
    <w:p w14:paraId="01C84C57">
      <w:pPr>
        <w:pStyle w:val="166"/>
        <w:adjustRightInd w:val="0"/>
        <w:snapToGrid w:val="0"/>
        <w:spacing w:line="360" w:lineRule="auto"/>
      </w:pPr>
      <w:r>
        <w:rPr>
          <w:rFonts w:hint="eastAsia"/>
        </w:rPr>
        <w:t>应根据调峰深度、时长、频次，动态调整运行参数、检修周期和维护策略。</w:t>
      </w:r>
    </w:p>
    <w:p w14:paraId="755D9EBE">
      <w:pPr>
        <w:pStyle w:val="108"/>
        <w:spacing w:before="240" w:after="240"/>
      </w:pPr>
      <w:bookmarkStart w:id="57" w:name="_Toc176966299"/>
      <w:bookmarkStart w:id="58" w:name="_Toc17758"/>
      <w:r>
        <w:rPr>
          <w:rFonts w:hint="eastAsia"/>
        </w:rPr>
        <w:t>设计</w:t>
      </w:r>
      <w:bookmarkEnd w:id="57"/>
      <w:r>
        <w:rPr>
          <w:rFonts w:hint="eastAsia"/>
        </w:rPr>
        <w:t>与改造</w:t>
      </w:r>
      <w:bookmarkEnd w:id="58"/>
    </w:p>
    <w:p w14:paraId="5931F33D">
      <w:pPr>
        <w:pStyle w:val="109"/>
      </w:pPr>
      <w:r>
        <w:rPr>
          <w:rFonts w:hint="eastAsia"/>
        </w:rPr>
        <w:t>灵活性改造设计</w:t>
      </w:r>
    </w:p>
    <w:p w14:paraId="06DAE295">
      <w:pPr>
        <w:pStyle w:val="169"/>
        <w:adjustRightInd w:val="0"/>
        <w:snapToGrid w:val="0"/>
        <w:spacing w:line="360" w:lineRule="auto"/>
      </w:pPr>
      <w:r>
        <w:rPr>
          <w:rFonts w:hint="eastAsia"/>
        </w:rPr>
        <w:t>机组灵活性改造设计应满足深度调峰工况下锅炉水动力安全、燃烧稳定、环保设施全投及辅机适配的要求。</w:t>
      </w:r>
    </w:p>
    <w:p w14:paraId="2D177079">
      <w:pPr>
        <w:pStyle w:val="169"/>
        <w:adjustRightInd w:val="0"/>
        <w:snapToGrid w:val="0"/>
        <w:spacing w:line="360" w:lineRule="auto"/>
      </w:pPr>
      <w:r>
        <w:rPr>
          <w:rFonts w:hint="eastAsia"/>
        </w:rPr>
        <w:t>新建机组或进行灵活性改造的现役机组，应结合煤质等评估锅炉低负荷稳燃性能，进行强化燃烧器稳燃结构、配置等离子、微油点火等辅助能量助燃设计。</w:t>
      </w:r>
    </w:p>
    <w:p w14:paraId="3C72ECCE">
      <w:pPr>
        <w:pStyle w:val="169"/>
        <w:adjustRightInd w:val="0"/>
        <w:snapToGrid w:val="0"/>
        <w:spacing w:line="360" w:lineRule="auto"/>
      </w:pPr>
      <w:r>
        <w:rPr>
          <w:rFonts w:hint="eastAsia"/>
        </w:rPr>
        <w:t>应计算深度调峰工况锅炉水动力特性，确保水动力安全。直流锅炉宜实现干态运行，避免干湿态频繁切换。</w:t>
      </w:r>
    </w:p>
    <w:p w14:paraId="3BF69C2C">
      <w:pPr>
        <w:pStyle w:val="169"/>
        <w:adjustRightInd w:val="0"/>
        <w:snapToGrid w:val="0"/>
        <w:spacing w:line="360" w:lineRule="auto"/>
      </w:pPr>
      <w:r>
        <w:rPr>
          <w:rFonts w:hint="eastAsia"/>
        </w:rPr>
        <w:t>过热器、再热器蒸汽管道宜采用左右侧交叉布置，降低工质侧的温度偏差。</w:t>
      </w:r>
    </w:p>
    <w:p w14:paraId="01C09F6E">
      <w:pPr>
        <w:pStyle w:val="169"/>
        <w:adjustRightInd w:val="0"/>
        <w:snapToGrid w:val="0"/>
        <w:spacing w:line="360" w:lineRule="auto"/>
      </w:pPr>
      <w:r>
        <w:rPr>
          <w:rFonts w:hint="eastAsia"/>
        </w:rPr>
        <w:t>水冷壁、过热器和再热器受热面合理布置壁温测点。</w:t>
      </w:r>
    </w:p>
    <w:p w14:paraId="39E0E5C7">
      <w:pPr>
        <w:pStyle w:val="169"/>
        <w:adjustRightInd w:val="0"/>
        <w:snapToGrid w:val="0"/>
        <w:spacing w:line="360" w:lineRule="auto"/>
      </w:pPr>
      <w:r>
        <w:rPr>
          <w:rFonts w:hint="eastAsia"/>
        </w:rPr>
        <w:t>应合理设计风箱和燃烧器结构，确保深度调峰工况下锅炉燃烧器安全。</w:t>
      </w:r>
    </w:p>
    <w:p w14:paraId="1BCCD2BD">
      <w:pPr>
        <w:pStyle w:val="169"/>
        <w:adjustRightInd w:val="0"/>
        <w:snapToGrid w:val="0"/>
        <w:spacing w:line="360" w:lineRule="auto"/>
      </w:pPr>
      <w:r>
        <w:rPr>
          <w:rFonts w:hint="eastAsia"/>
        </w:rPr>
        <w:t>应校核锅炉水平烟道的结构强度，水平烟道应设置积灰治理装置。</w:t>
      </w:r>
    </w:p>
    <w:p w14:paraId="07144369">
      <w:pPr>
        <w:pStyle w:val="169"/>
        <w:adjustRightInd w:val="0"/>
        <w:snapToGrid w:val="0"/>
        <w:spacing w:line="360" w:lineRule="auto"/>
      </w:pPr>
      <w:r>
        <w:rPr>
          <w:rFonts w:hint="eastAsia"/>
        </w:rPr>
        <w:t>应合理布置各受热面，选用省煤器旁路、烟气旁路、0号高加、分级省煤器等宽负荷脱硝技术，保证SCR脱硝装置进口烟气温度在深度调峰工况下满足脱硝装置正常投运要求。</w:t>
      </w:r>
    </w:p>
    <w:p w14:paraId="31C663C8">
      <w:pPr>
        <w:pStyle w:val="169"/>
        <w:adjustRightInd w:val="0"/>
        <w:snapToGrid w:val="0"/>
        <w:spacing w:line="360" w:lineRule="auto"/>
      </w:pPr>
      <w:r>
        <w:rPr>
          <w:rFonts w:hint="eastAsia"/>
        </w:rPr>
        <w:t>空气预热器换热元件应采用合适的波纹板式，换热元件宜采用两段式布置方式，提升抗堵塞、抗低温腐蚀能力。</w:t>
      </w:r>
    </w:p>
    <w:p w14:paraId="78CC2DC5">
      <w:pPr>
        <w:pStyle w:val="169"/>
        <w:adjustRightInd w:val="0"/>
        <w:snapToGrid w:val="0"/>
        <w:spacing w:line="360" w:lineRule="auto"/>
      </w:pPr>
      <w:r>
        <w:rPr>
          <w:rFonts w:hint="eastAsia"/>
        </w:rPr>
        <w:t>辅机选型应考虑与深度调峰工况的适应性，校核磨煤机、风机、给水泵等辅机的低负荷工况。风机应校核失速/喘振裕度，磨煤机宜预留变频改造条件，避免出现磨煤机振动、泵与风机出力不适配等问题。</w:t>
      </w:r>
    </w:p>
    <w:p w14:paraId="49518CAB">
      <w:pPr>
        <w:pStyle w:val="169"/>
        <w:adjustRightInd w:val="0"/>
        <w:snapToGrid w:val="0"/>
        <w:spacing w:line="360" w:lineRule="auto"/>
      </w:pPr>
      <w:r>
        <w:rPr>
          <w:rFonts w:hint="eastAsia"/>
        </w:rPr>
        <w:t>对于直吹式制粉系统设计，低负荷宜采用3台磨运行，或采用投2台磨、1台磨暖通备用的运行模式。</w:t>
      </w:r>
    </w:p>
    <w:p w14:paraId="371C402F">
      <w:pPr>
        <w:pStyle w:val="169"/>
        <w:adjustRightInd w:val="0"/>
        <w:snapToGrid w:val="0"/>
        <w:spacing w:line="360" w:lineRule="auto"/>
      </w:pPr>
      <w:r>
        <w:rPr>
          <w:rFonts w:hint="eastAsia"/>
        </w:rPr>
        <w:t>超低负荷（20%～25%额定负荷）深度调峰时，应开展精细化锅炉水动力和燃烧设计，优化受热面布置，降低烟气侧和工质侧的偏差，必要时改造燃烧器和受热面，避免水冷壁和受热面局部超温。</w:t>
      </w:r>
    </w:p>
    <w:p w14:paraId="2CE9DD54">
      <w:pPr>
        <w:pStyle w:val="109"/>
      </w:pPr>
      <w:r>
        <w:rPr>
          <w:rFonts w:hint="eastAsia"/>
        </w:rPr>
        <w:t>改造方案评估</w:t>
      </w:r>
    </w:p>
    <w:p w14:paraId="0AFE9303">
      <w:pPr>
        <w:pStyle w:val="169"/>
        <w:adjustRightInd w:val="0"/>
        <w:snapToGrid w:val="0"/>
        <w:spacing w:line="360" w:lineRule="auto"/>
      </w:pPr>
      <w:r>
        <w:rPr>
          <w:rFonts w:hint="eastAsia"/>
        </w:rPr>
        <w:t>机组深度调峰的改造目标应综合考虑机组建设条件、投资成本、机组煤耗增加等因素确定。改造方案涉及重大调整时应组织评审，改造后应完成调试、验收及能力评估试验。</w:t>
      </w:r>
    </w:p>
    <w:p w14:paraId="2AFF3D0A">
      <w:pPr>
        <w:pStyle w:val="169"/>
        <w:adjustRightInd w:val="0"/>
        <w:snapToGrid w:val="0"/>
        <w:spacing w:line="360" w:lineRule="auto"/>
      </w:pPr>
      <w:r>
        <w:rPr>
          <w:rFonts w:hint="eastAsia"/>
        </w:rPr>
        <w:t>机组深度调峰改造前应首先开展安全性评估和现场优化试验，根据深度调峰目标，确定主机及辅机系统的技术改造方案。</w:t>
      </w:r>
    </w:p>
    <w:p w14:paraId="1A8B70C9">
      <w:pPr>
        <w:pStyle w:val="169"/>
        <w:adjustRightInd w:val="0"/>
        <w:snapToGrid w:val="0"/>
        <w:spacing w:line="360" w:lineRule="auto"/>
      </w:pPr>
      <w:r>
        <w:rPr>
          <w:rFonts w:hint="eastAsia"/>
        </w:rPr>
        <w:t>燃煤机组开展深度调峰前，应开展锅炉水动力计算。通过计算锅炉受热管内的水动力特性及流动阻力，评估锅炉水循环的安全性，保证受热管内工质稳定流动、分配均匀和有效冷却，无停滞、倒流、脉动等异常现象。</w:t>
      </w:r>
    </w:p>
    <w:p w14:paraId="628B7C1C">
      <w:pPr>
        <w:pStyle w:val="169"/>
        <w:adjustRightInd w:val="0"/>
        <w:snapToGrid w:val="0"/>
        <w:spacing w:line="360" w:lineRule="auto"/>
      </w:pPr>
      <w:r>
        <w:rPr>
          <w:rFonts w:hint="eastAsia"/>
        </w:rPr>
        <w:t>燃煤机组开展深度调峰前，应开展锅炉受热面壁温计算。通过对锅炉过热器和再热器的炉内壁温进行计算，判断管材的安全性，确保管材在许用强度范围内，超出许用强度的，应对管材进行升级或采取其他改造措施。</w:t>
      </w:r>
    </w:p>
    <w:p w14:paraId="688D1794">
      <w:pPr>
        <w:pStyle w:val="169"/>
        <w:adjustRightInd w:val="0"/>
        <w:snapToGrid w:val="0"/>
        <w:spacing w:line="360" w:lineRule="auto"/>
      </w:pPr>
      <w:r>
        <w:rPr>
          <w:rFonts w:hint="eastAsia"/>
        </w:rPr>
        <w:t>应开展关键部件的强度应力评估，对汽水分离器、集箱、阀门等厚壁受压元件的应力进行强度校核和寿命评估。</w:t>
      </w:r>
    </w:p>
    <w:p w14:paraId="099FB576">
      <w:pPr>
        <w:pStyle w:val="169"/>
        <w:adjustRightInd w:val="0"/>
        <w:snapToGrid w:val="0"/>
        <w:spacing w:line="360" w:lineRule="auto"/>
      </w:pPr>
      <w:r>
        <w:rPr>
          <w:rFonts w:hint="eastAsia"/>
        </w:rPr>
        <w:t>燃煤锅炉深度调峰改造前宜开展锅炉数值模拟计算，主要内容包括深度调峰下炉内空气动力场、温度场、烟气污染物浓度场的数值模拟，以优化低负荷下的配风，评估炉膛热负荷分布均匀性。</w:t>
      </w:r>
    </w:p>
    <w:p w14:paraId="4C9A4ACC">
      <w:pPr>
        <w:pStyle w:val="109"/>
      </w:pPr>
      <w:r>
        <w:rPr>
          <w:rFonts w:hint="eastAsia"/>
        </w:rPr>
        <w:t>设备改造</w:t>
      </w:r>
    </w:p>
    <w:p w14:paraId="1BE167F6">
      <w:pPr>
        <w:pStyle w:val="69"/>
        <w:spacing w:before="120" w:after="120"/>
        <w:rPr>
          <w:szCs w:val="21"/>
        </w:rPr>
      </w:pPr>
      <w:r>
        <w:rPr>
          <w:rFonts w:hint="eastAsia"/>
          <w:szCs w:val="21"/>
        </w:rPr>
        <w:t>锅炉系统改造</w:t>
      </w:r>
    </w:p>
    <w:p w14:paraId="116DD016">
      <w:pPr>
        <w:pStyle w:val="98"/>
        <w:spacing w:before="120" w:after="120"/>
      </w:pPr>
      <w:r>
        <w:rPr>
          <w:rFonts w:hint="eastAsia"/>
        </w:rPr>
        <w:t>受热面超温治理</w:t>
      </w:r>
    </w:p>
    <w:p w14:paraId="20048CC1">
      <w:pPr>
        <w:pStyle w:val="60"/>
        <w:spacing w:line="360" w:lineRule="auto"/>
        <w:rPr>
          <w:szCs w:val="21"/>
        </w:rPr>
      </w:pPr>
      <w:r>
        <w:rPr>
          <w:rFonts w:hint="eastAsia"/>
        </w:rPr>
        <w:t>针对锅炉低负荷下水冷壁、过热器和再热器超温，以及主汽和再</w:t>
      </w:r>
      <w:r>
        <w:rPr>
          <w:rFonts w:hint="eastAsia"/>
          <w:spacing w:val="-1"/>
        </w:rPr>
        <w:t>热汽温度失调的问题，应采取下列应对措施：</w:t>
      </w:r>
    </w:p>
    <w:p w14:paraId="2FDB1BDA">
      <w:pPr>
        <w:pStyle w:val="178"/>
        <w:numPr>
          <w:ilvl w:val="0"/>
          <w:numId w:val="32"/>
        </w:numPr>
        <w:adjustRightInd w:val="0"/>
        <w:snapToGrid w:val="0"/>
        <w:spacing w:line="360" w:lineRule="auto"/>
      </w:pPr>
      <w:r>
        <w:rPr>
          <w:rFonts w:hint="eastAsia"/>
        </w:rPr>
        <w:t>通过调整配风方式、过量空气系数、水煤比、磨煤机投运方式等运行手段，缓解烟气侧偏差，调整壁温；</w:t>
      </w:r>
    </w:p>
    <w:p w14:paraId="7E793A57">
      <w:pPr>
        <w:pStyle w:val="178"/>
        <w:numPr>
          <w:ilvl w:val="0"/>
          <w:numId w:val="32"/>
        </w:numPr>
        <w:adjustRightInd w:val="0"/>
        <w:snapToGrid w:val="0"/>
        <w:spacing w:line="360" w:lineRule="auto"/>
      </w:pPr>
      <w:r>
        <w:rPr>
          <w:rFonts w:hint="eastAsia"/>
        </w:rPr>
        <w:t>开展水动力计算校核管内介质在各工况下分配均衡性，通过节流圈调整等技术手段，使锅炉在各运行工况下受热管内工质流动稳定、分布均匀，受热面温度偏差在可控范围；</w:t>
      </w:r>
    </w:p>
    <w:p w14:paraId="39419035">
      <w:pPr>
        <w:pStyle w:val="178"/>
        <w:numPr>
          <w:ilvl w:val="0"/>
          <w:numId w:val="32"/>
        </w:numPr>
        <w:adjustRightInd w:val="0"/>
        <w:snapToGrid w:val="0"/>
        <w:spacing w:line="360" w:lineRule="auto"/>
      </w:pPr>
      <w:r>
        <w:rPr>
          <w:rFonts w:hint="eastAsia"/>
        </w:rPr>
        <w:t>在水冷壁和过热器增设壁温测点；</w:t>
      </w:r>
    </w:p>
    <w:p w14:paraId="5C5B002D">
      <w:pPr>
        <w:pStyle w:val="178"/>
        <w:numPr>
          <w:ilvl w:val="0"/>
          <w:numId w:val="32"/>
        </w:numPr>
        <w:adjustRightInd w:val="0"/>
        <w:snapToGrid w:val="0"/>
        <w:spacing w:line="360" w:lineRule="auto"/>
      </w:pPr>
      <w:r>
        <w:rPr>
          <w:rFonts w:hint="eastAsia"/>
        </w:rPr>
        <w:t>若蒸汽温度偏低且运行调整效果不明显，可通过增加受热面、实施烟气再循环改造等方式来提高蒸汽温度；</w:t>
      </w:r>
    </w:p>
    <w:p w14:paraId="6B73644B">
      <w:pPr>
        <w:pStyle w:val="178"/>
        <w:numPr>
          <w:ilvl w:val="0"/>
          <w:numId w:val="32"/>
        </w:numPr>
        <w:adjustRightInd w:val="0"/>
        <w:snapToGrid w:val="0"/>
        <w:spacing w:line="360" w:lineRule="auto"/>
      </w:pPr>
      <w:r>
        <w:rPr>
          <w:rFonts w:hint="eastAsia"/>
        </w:rPr>
        <w:t>对低负荷时易超温</w:t>
      </w:r>
      <w:r>
        <w:rPr>
          <w:rFonts w:hint="eastAsia"/>
          <w:spacing w:val="7"/>
        </w:rPr>
        <w:t>部位，实施管材升级改造</w:t>
      </w:r>
      <w:r>
        <w:rPr>
          <w:rFonts w:hint="eastAsia"/>
        </w:rPr>
        <w:t>。</w:t>
      </w:r>
    </w:p>
    <w:p w14:paraId="63AD308F">
      <w:pPr>
        <w:pStyle w:val="98"/>
        <w:spacing w:before="120" w:after="120"/>
      </w:pPr>
      <w:r>
        <w:rPr>
          <w:rFonts w:hint="eastAsia"/>
        </w:rPr>
        <w:t>水平烟道积灰治理</w:t>
      </w:r>
    </w:p>
    <w:p w14:paraId="5608C0EE">
      <w:pPr>
        <w:pStyle w:val="60"/>
        <w:rPr>
          <w:rFonts w:hint="eastAsia"/>
        </w:rPr>
      </w:pPr>
      <w:r>
        <w:rPr>
          <w:rFonts w:hint="eastAsia"/>
        </w:rPr>
        <w:t>针对低负荷下水平烟道积灰问题，可采取如下技术措施：</w:t>
      </w:r>
    </w:p>
    <w:p w14:paraId="63319529">
      <w:pPr>
        <w:pStyle w:val="178"/>
        <w:numPr>
          <w:ilvl w:val="0"/>
          <w:numId w:val="33"/>
        </w:numPr>
        <w:adjustRightInd w:val="0"/>
        <w:snapToGrid w:val="0"/>
        <w:spacing w:line="360" w:lineRule="auto"/>
      </w:pPr>
      <w:r>
        <w:rPr>
          <w:rFonts w:hint="eastAsia"/>
        </w:rPr>
        <w:t>防止低负荷水平烟道积灰，可采取加装蒸汽吹灰装置、压缩空气帽等技术措施。</w:t>
      </w:r>
    </w:p>
    <w:p w14:paraId="39BEF945">
      <w:pPr>
        <w:pStyle w:val="178"/>
        <w:numPr>
          <w:ilvl w:val="0"/>
          <w:numId w:val="33"/>
        </w:numPr>
        <w:adjustRightInd w:val="0"/>
        <w:snapToGrid w:val="0"/>
        <w:spacing w:line="360" w:lineRule="auto"/>
      </w:pPr>
      <w:r>
        <w:rPr>
          <w:rFonts w:hint="eastAsia"/>
        </w:rPr>
        <w:t>优化吹灰策略，增加吹灰频次。</w:t>
      </w:r>
    </w:p>
    <w:p w14:paraId="77E1C577">
      <w:pPr>
        <w:pStyle w:val="98"/>
        <w:spacing w:before="120" w:after="120"/>
      </w:pPr>
      <w:r>
        <w:rPr>
          <w:rFonts w:hint="eastAsia"/>
        </w:rPr>
        <w:t>干湿态转换控制</w:t>
      </w:r>
    </w:p>
    <w:p w14:paraId="780F9DB6">
      <w:pPr>
        <w:pStyle w:val="178"/>
        <w:numPr>
          <w:ilvl w:val="0"/>
          <w:numId w:val="34"/>
        </w:numPr>
        <w:adjustRightInd w:val="0"/>
        <w:snapToGrid w:val="0"/>
        <w:spacing w:line="360" w:lineRule="auto"/>
      </w:pPr>
      <w:r>
        <w:rPr>
          <w:rFonts w:hint="eastAsia"/>
        </w:rPr>
        <w:t>在湿、干态转换过程中，应通过采取降低一次风速、降低燃尽风份额、减小中心风量，加强水冷壁等相关受热面吹灰等措施，适当控制燃烧器区域水冷壁的热负荷，合理控制炉膛煤粉燃烧温度和火焰中心位置，增强水冷壁吸热，防止水冷壁超温。</w:t>
      </w:r>
    </w:p>
    <w:p w14:paraId="08FC9433">
      <w:pPr>
        <w:pStyle w:val="178"/>
        <w:numPr>
          <w:ilvl w:val="0"/>
          <w:numId w:val="34"/>
        </w:numPr>
        <w:adjustRightInd w:val="0"/>
        <w:snapToGrid w:val="0"/>
        <w:spacing w:line="360" w:lineRule="auto"/>
      </w:pPr>
      <w:r>
        <w:rPr>
          <w:rFonts w:hint="eastAsia"/>
        </w:rPr>
        <w:t>深度调峰运行区间涉及湿、干态转换过程的机组，宜具备湿、干态自动转换及湿态协调功能。</w:t>
      </w:r>
    </w:p>
    <w:p w14:paraId="4A1C1B6C">
      <w:pPr>
        <w:pStyle w:val="178"/>
        <w:numPr>
          <w:ilvl w:val="0"/>
          <w:numId w:val="34"/>
        </w:numPr>
        <w:adjustRightInd w:val="0"/>
        <w:snapToGrid w:val="0"/>
        <w:spacing w:line="360" w:lineRule="auto"/>
      </w:pPr>
      <w:r>
        <w:rPr>
          <w:rFonts w:hint="eastAsia"/>
        </w:rPr>
        <w:t>应保证湿、干态转换过程平稳，一次完成，避免反复、频繁转换。</w:t>
      </w:r>
    </w:p>
    <w:p w14:paraId="5D03354D">
      <w:pPr>
        <w:pStyle w:val="98"/>
        <w:spacing w:before="120" w:after="120"/>
      </w:pPr>
      <w:r>
        <w:rPr>
          <w:rFonts w:hint="eastAsia"/>
        </w:rPr>
        <w:t>空气预热器堵塞治理</w:t>
      </w:r>
    </w:p>
    <w:p w14:paraId="1525EA35">
      <w:pPr>
        <w:pStyle w:val="178"/>
        <w:numPr>
          <w:ilvl w:val="0"/>
          <w:numId w:val="35"/>
        </w:numPr>
        <w:adjustRightInd w:val="0"/>
        <w:snapToGrid w:val="0"/>
        <w:spacing w:line="360" w:lineRule="auto"/>
      </w:pPr>
      <w:r>
        <w:rPr>
          <w:rFonts w:hint="eastAsia"/>
        </w:rPr>
        <w:t>对于SCR脱硝系统，应开展精准喷氨技术改造，通过导流板优化、分区喷氨、热工控制优化等综合技术措施，降低SCR脱硝系统出口氨逃逸。</w:t>
      </w:r>
    </w:p>
    <w:p w14:paraId="08F3C412">
      <w:pPr>
        <w:pStyle w:val="178"/>
        <w:numPr>
          <w:ilvl w:val="0"/>
          <w:numId w:val="35"/>
        </w:numPr>
        <w:adjustRightInd w:val="0"/>
        <w:snapToGrid w:val="0"/>
        <w:spacing w:line="360" w:lineRule="auto"/>
      </w:pPr>
      <w:r>
        <w:rPr>
          <w:rFonts w:hint="eastAsia"/>
        </w:rPr>
        <w:t>应定期开展SCR脱硝催化剂全生命周期性能检测，评估催化剂性能。</w:t>
      </w:r>
    </w:p>
    <w:p w14:paraId="4E4BCC0E">
      <w:pPr>
        <w:pStyle w:val="178"/>
        <w:numPr>
          <w:ilvl w:val="0"/>
          <w:numId w:val="35"/>
        </w:numPr>
        <w:adjustRightInd w:val="0"/>
        <w:snapToGrid w:val="0"/>
        <w:spacing w:line="360" w:lineRule="auto"/>
      </w:pPr>
      <w:r>
        <w:rPr>
          <w:rFonts w:hint="eastAsia"/>
        </w:rPr>
        <w:t>应根据入炉煤的硫分，适时调整空气预热器的冷端综合温度，宜采用增设暖风器等改造方案，提高空气预热器入口风温。</w:t>
      </w:r>
    </w:p>
    <w:p w14:paraId="43CBADCB">
      <w:pPr>
        <w:pStyle w:val="178"/>
        <w:numPr>
          <w:ilvl w:val="0"/>
          <w:numId w:val="35"/>
        </w:numPr>
        <w:adjustRightInd w:val="0"/>
        <w:snapToGrid w:val="0"/>
        <w:spacing w:line="360" w:lineRule="auto"/>
      </w:pPr>
      <w:r>
        <w:rPr>
          <w:rFonts w:hint="eastAsia"/>
        </w:rPr>
        <w:t>加强空气预热器吹灰频次，确保吹灰压力、介质喷射距离合适。</w:t>
      </w:r>
    </w:p>
    <w:p w14:paraId="759FE6B9">
      <w:pPr>
        <w:pStyle w:val="98"/>
        <w:spacing w:before="120" w:after="120"/>
      </w:pPr>
      <w:r>
        <w:rPr>
          <w:rFonts w:hint="eastAsia"/>
        </w:rPr>
        <w:t>炉膛高温火焰温度监测</w:t>
      </w:r>
    </w:p>
    <w:p w14:paraId="29014E06">
      <w:pPr>
        <w:pStyle w:val="60"/>
        <w:spacing w:line="360" w:lineRule="auto"/>
      </w:pPr>
      <w:r>
        <w:rPr>
          <w:rFonts w:hint="eastAsia"/>
        </w:rPr>
        <w:t>宜采用红外线在线测量或声波测温等在线监测技术测量炉膛高温火焰温度，实时监测炉内燃烧状态。</w:t>
      </w:r>
    </w:p>
    <w:p w14:paraId="2A91C404">
      <w:pPr>
        <w:pStyle w:val="69"/>
        <w:spacing w:before="120" w:after="120"/>
        <w:rPr>
          <w:szCs w:val="21"/>
        </w:rPr>
      </w:pPr>
      <w:r>
        <w:rPr>
          <w:rFonts w:hint="eastAsia"/>
          <w:szCs w:val="21"/>
        </w:rPr>
        <w:t>风机改造</w:t>
      </w:r>
    </w:p>
    <w:p w14:paraId="30750609">
      <w:pPr>
        <w:pStyle w:val="178"/>
        <w:numPr>
          <w:ilvl w:val="0"/>
          <w:numId w:val="36"/>
        </w:numPr>
        <w:adjustRightInd w:val="0"/>
        <w:snapToGrid w:val="0"/>
        <w:spacing w:line="360" w:lineRule="auto"/>
      </w:pPr>
      <w:r>
        <w:rPr>
          <w:rFonts w:hint="eastAsia"/>
        </w:rPr>
        <w:t>锅炉低负荷时，应关注风机选型参数，避免风机进入失速区。</w:t>
      </w:r>
    </w:p>
    <w:p w14:paraId="5DEC9813">
      <w:pPr>
        <w:pStyle w:val="178"/>
        <w:numPr>
          <w:ilvl w:val="0"/>
          <w:numId w:val="36"/>
        </w:numPr>
        <w:adjustRightInd w:val="0"/>
        <w:snapToGrid w:val="0"/>
        <w:spacing w:line="360" w:lineRule="auto"/>
      </w:pPr>
      <w:r>
        <w:rPr>
          <w:rFonts w:hint="eastAsia"/>
        </w:rPr>
        <w:t>宜通过变频或双速改造等优化转速调节，提高风机运行效率。</w:t>
      </w:r>
    </w:p>
    <w:p w14:paraId="2D867ECF">
      <w:pPr>
        <w:pStyle w:val="178"/>
        <w:numPr>
          <w:ilvl w:val="0"/>
          <w:numId w:val="36"/>
        </w:numPr>
        <w:adjustRightInd w:val="0"/>
        <w:snapToGrid w:val="0"/>
        <w:spacing w:line="360" w:lineRule="auto"/>
      </w:pPr>
      <w:r>
        <w:rPr>
          <w:rFonts w:hint="eastAsia"/>
        </w:rPr>
        <w:t>在低负荷时，宜采用双列运行方式，必要时应优化风机的运行策略。</w:t>
      </w:r>
    </w:p>
    <w:p w14:paraId="3B092260">
      <w:pPr>
        <w:pStyle w:val="69"/>
        <w:spacing w:before="120" w:after="120"/>
        <w:rPr>
          <w:szCs w:val="21"/>
        </w:rPr>
      </w:pPr>
      <w:r>
        <w:rPr>
          <w:rFonts w:hint="eastAsia"/>
          <w:szCs w:val="21"/>
        </w:rPr>
        <w:t>汽轮机系统改造</w:t>
      </w:r>
    </w:p>
    <w:p w14:paraId="4A053B9F">
      <w:pPr>
        <w:pStyle w:val="178"/>
        <w:numPr>
          <w:ilvl w:val="0"/>
          <w:numId w:val="37"/>
        </w:numPr>
        <w:adjustRightInd w:val="0"/>
        <w:snapToGrid w:val="0"/>
        <w:spacing w:line="360" w:lineRule="auto"/>
      </w:pPr>
      <w:r>
        <w:rPr>
          <w:rFonts w:hint="eastAsia"/>
        </w:rPr>
        <w:t>通过高低旁路及低压连通管旁路联合系统技术改造，重新平衡供热工况下各缸功率比，使得低压缸冷却蒸汽通流量及末级排汽容积流量满足安全运行的要求。</w:t>
      </w:r>
    </w:p>
    <w:p w14:paraId="6F70B239">
      <w:pPr>
        <w:pStyle w:val="178"/>
        <w:numPr>
          <w:ilvl w:val="0"/>
          <w:numId w:val="37"/>
        </w:numPr>
        <w:adjustRightInd w:val="0"/>
        <w:snapToGrid w:val="0"/>
        <w:spacing w:line="360" w:lineRule="auto"/>
      </w:pPr>
      <w:r>
        <w:rPr>
          <w:rFonts w:hint="eastAsia"/>
        </w:rPr>
        <w:t>为防止低压缸末两级叶片发生水蚀，宜对叶片出汽边进行防护处理，提高抗水蚀冲刷能力；宜采用具有抽吸功能的空心静叶和隔板，提高静叶的除湿功能，有效降低排汽湿度；宜改造低压缸末级喷水系统，加强雾化效果，合理控制喷水量。</w:t>
      </w:r>
    </w:p>
    <w:p w14:paraId="3ACA53CA">
      <w:pPr>
        <w:pStyle w:val="178"/>
        <w:numPr>
          <w:ilvl w:val="0"/>
          <w:numId w:val="37"/>
        </w:numPr>
        <w:adjustRightInd w:val="0"/>
        <w:snapToGrid w:val="0"/>
        <w:spacing w:line="360" w:lineRule="auto"/>
      </w:pPr>
      <w:r>
        <w:rPr>
          <w:rFonts w:hint="eastAsia"/>
        </w:rPr>
        <w:t>低压缸出现低负荷鼓风运行工况时，应限制进入低压缸蒸汽的温度、压力参数，采取减温降压措施，并评估叶片强度与振动情况，设置叶片运行温度上限，并设定报警保护。</w:t>
      </w:r>
    </w:p>
    <w:p w14:paraId="067B369C">
      <w:pPr>
        <w:pStyle w:val="178"/>
        <w:numPr>
          <w:ilvl w:val="0"/>
          <w:numId w:val="37"/>
        </w:numPr>
        <w:adjustRightInd w:val="0"/>
        <w:snapToGrid w:val="0"/>
        <w:spacing w:line="360" w:lineRule="auto"/>
      </w:pPr>
      <w:r>
        <w:rPr>
          <w:rFonts w:hint="eastAsia"/>
        </w:rPr>
        <w:t>低负荷高背压运行工况下，宜更换可承受更大动应力的末级叶片；宜增设叶片振动在线监测系统，用以监测汽流激振时的振动激增区域。</w:t>
      </w:r>
    </w:p>
    <w:p w14:paraId="1C9813C6">
      <w:pPr>
        <w:pStyle w:val="178"/>
        <w:numPr>
          <w:ilvl w:val="0"/>
          <w:numId w:val="37"/>
        </w:numPr>
        <w:adjustRightInd w:val="0"/>
        <w:snapToGrid w:val="0"/>
        <w:spacing w:line="360" w:lineRule="auto"/>
      </w:pPr>
      <w:r>
        <w:rPr>
          <w:rFonts w:hint="eastAsia"/>
        </w:rPr>
        <w:t>低负荷下应评估并优化两级加热器之间抽汽压差及进出水管路的压差，保证加热器正常疏水。</w:t>
      </w:r>
    </w:p>
    <w:p w14:paraId="61098547">
      <w:pPr>
        <w:pStyle w:val="178"/>
        <w:numPr>
          <w:ilvl w:val="0"/>
          <w:numId w:val="37"/>
        </w:numPr>
        <w:adjustRightInd w:val="0"/>
        <w:snapToGrid w:val="0"/>
        <w:spacing w:line="360" w:lineRule="auto"/>
      </w:pPr>
      <w:r>
        <w:rPr>
          <w:rFonts w:hint="eastAsia"/>
        </w:rPr>
        <w:t>对于低负荷运行时流量特性曲线过于平缓的给水泵，通过运行方式调整或设备改造，提高给水流量调节灵敏度。</w:t>
      </w:r>
    </w:p>
    <w:p w14:paraId="3065BEA8">
      <w:pPr>
        <w:pStyle w:val="178"/>
        <w:numPr>
          <w:ilvl w:val="0"/>
          <w:numId w:val="37"/>
        </w:numPr>
        <w:adjustRightInd w:val="0"/>
        <w:snapToGrid w:val="0"/>
        <w:spacing w:line="360" w:lineRule="auto"/>
      </w:pPr>
      <w:r>
        <w:rPr>
          <w:rFonts w:hint="eastAsia"/>
        </w:rPr>
        <w:t>评估机组在低负荷时给水泵汽轮机低压汽源是否足够支持给水负载侧的需求，不满足时需确保本机高压汽源切换可靠安全的实现途径。对于配置两台给水泵汽轮机的机组，应完善投退并泵的逻辑与操作步骤，防止给水流量调节出现大幅度波动。</w:t>
      </w:r>
    </w:p>
    <w:p w14:paraId="17B5FC94">
      <w:pPr>
        <w:pStyle w:val="69"/>
        <w:spacing w:before="120" w:after="120"/>
      </w:pPr>
      <w:r>
        <w:rPr>
          <w:rFonts w:hint="eastAsia"/>
        </w:rPr>
        <w:t>发电机系统改造</w:t>
      </w:r>
    </w:p>
    <w:p w14:paraId="39BB4CDD">
      <w:pPr>
        <w:pStyle w:val="178"/>
        <w:numPr>
          <w:ilvl w:val="0"/>
          <w:numId w:val="38"/>
        </w:numPr>
        <w:adjustRightInd w:val="0"/>
        <w:snapToGrid w:val="0"/>
        <w:spacing w:line="360" w:lineRule="auto"/>
      </w:pPr>
      <w:r>
        <w:rPr>
          <w:rFonts w:hint="eastAsia"/>
        </w:rPr>
        <w:t>发电机定子圈加固：采用环氧材料填塞并整体固化；采用垫块、绑带加固，或采用压板+锥环的整体灌注结构；内层线棒间绑环采用环氧无纬玻璃纤维带替代玻璃绳结构；增加绑扎数量，各间隔块与大绑绳逐一绑扎固定；线圈端部整体淋胶烘焙；并联环采用固定刚度及强度更好的压板式固定结构。</w:t>
      </w:r>
    </w:p>
    <w:p w14:paraId="5584D97F">
      <w:pPr>
        <w:pStyle w:val="178"/>
        <w:numPr>
          <w:ilvl w:val="0"/>
          <w:numId w:val="38"/>
        </w:numPr>
        <w:adjustRightInd w:val="0"/>
        <w:snapToGrid w:val="0"/>
        <w:spacing w:line="360" w:lineRule="auto"/>
      </w:pPr>
      <w:r>
        <w:rPr>
          <w:rFonts w:hint="eastAsia"/>
        </w:rPr>
        <w:t>定子端部支撑滑移结构改进：定子端部锥环内侧采用支撑环支撑，外侧锥环支架采用带周向止动的双偏心套结构，套筒外设有聚四氟乙烯滑移套，实现轴向滑移结构。</w:t>
      </w:r>
    </w:p>
    <w:p w14:paraId="7F28B32B">
      <w:pPr>
        <w:pStyle w:val="178"/>
        <w:numPr>
          <w:ilvl w:val="0"/>
          <w:numId w:val="38"/>
        </w:numPr>
        <w:adjustRightInd w:val="0"/>
        <w:snapToGrid w:val="0"/>
        <w:spacing w:line="360" w:lineRule="auto"/>
      </w:pPr>
      <w:r>
        <w:rPr>
          <w:rFonts w:hint="eastAsia"/>
        </w:rPr>
        <w:t>绝缘强化：提升定子线圈绝缘等级，适配变负荷、变温度工况。</w:t>
      </w:r>
    </w:p>
    <w:p w14:paraId="5295F05B">
      <w:pPr>
        <w:pStyle w:val="178"/>
        <w:numPr>
          <w:ilvl w:val="0"/>
          <w:numId w:val="38"/>
        </w:numPr>
        <w:adjustRightInd w:val="0"/>
        <w:snapToGrid w:val="0"/>
        <w:spacing w:line="360" w:lineRule="auto"/>
      </w:pPr>
      <w:r>
        <w:rPr>
          <w:rFonts w:hint="eastAsia"/>
        </w:rPr>
        <w:t>转子绕组及护环保护：评估低负荷工况下转子绕组热变形和护环应力，必要时进行加固或优化通风冷却。</w:t>
      </w:r>
    </w:p>
    <w:p w14:paraId="0C63E708">
      <w:pPr>
        <w:pStyle w:val="69"/>
        <w:spacing w:before="120" w:after="120"/>
      </w:pPr>
      <w:r>
        <w:rPr>
          <w:rFonts w:hint="eastAsia"/>
        </w:rPr>
        <w:t>热工控制系统优化</w:t>
      </w:r>
    </w:p>
    <w:p w14:paraId="4002815F">
      <w:pPr>
        <w:pStyle w:val="178"/>
        <w:numPr>
          <w:ilvl w:val="0"/>
          <w:numId w:val="39"/>
        </w:numPr>
        <w:adjustRightInd w:val="0"/>
        <w:snapToGrid w:val="0"/>
        <w:spacing w:line="360" w:lineRule="auto"/>
      </w:pPr>
      <w:r>
        <w:rPr>
          <w:rFonts w:hint="eastAsia"/>
        </w:rPr>
        <w:t>深度调峰工况下应对总风量、给水流量等涉及机组主要保护动作的定值进行核对、优化，确保机组运行安全。</w:t>
      </w:r>
    </w:p>
    <w:p w14:paraId="279AF680">
      <w:pPr>
        <w:pStyle w:val="178"/>
        <w:numPr>
          <w:ilvl w:val="0"/>
          <w:numId w:val="39"/>
        </w:numPr>
        <w:adjustRightInd w:val="0"/>
        <w:snapToGrid w:val="0"/>
        <w:spacing w:line="360" w:lineRule="auto"/>
      </w:pPr>
      <w:r>
        <w:rPr>
          <w:rFonts w:hint="eastAsia"/>
        </w:rPr>
        <w:t>深度调峰工况下应对制粉系统、汽水系统、风烟系统等主要辅机的保护动作值进行核对、优化，其自动调节系统的向下调节裕量应满足DL/T 1210要求，确保深度调峰下限运行时的主要辅机运行安全和调节安全。</w:t>
      </w:r>
    </w:p>
    <w:p w14:paraId="0AC1B44C">
      <w:pPr>
        <w:pStyle w:val="178"/>
        <w:numPr>
          <w:ilvl w:val="0"/>
          <w:numId w:val="39"/>
        </w:numPr>
        <w:adjustRightInd w:val="0"/>
        <w:snapToGrid w:val="0"/>
        <w:spacing w:line="360" w:lineRule="auto"/>
      </w:pPr>
      <w:r>
        <w:rPr>
          <w:rFonts w:hint="eastAsia"/>
        </w:rPr>
        <w:t>深度调峰工况下单侧重要辅机跳闸时，宜对相关控制策略进行针对性优化。</w:t>
      </w:r>
    </w:p>
    <w:p w14:paraId="5BB518F0">
      <w:pPr>
        <w:pStyle w:val="178"/>
        <w:numPr>
          <w:ilvl w:val="0"/>
          <w:numId w:val="39"/>
        </w:numPr>
        <w:adjustRightInd w:val="0"/>
        <w:snapToGrid w:val="0"/>
        <w:spacing w:line="360" w:lineRule="auto"/>
      </w:pPr>
      <w:r>
        <w:rPr>
          <w:rFonts w:hint="eastAsia"/>
        </w:rPr>
        <w:t>深度调峰工况下应对模拟量控制系统的偏差报警功能、方向性闭锁保护功能、超驰控制保护功能进行核对、优化，确保模拟量控制系统的功能及调节品质满足机组运行要求。</w:t>
      </w:r>
    </w:p>
    <w:p w14:paraId="50148D77">
      <w:pPr>
        <w:pStyle w:val="178"/>
        <w:numPr>
          <w:ilvl w:val="0"/>
          <w:numId w:val="39"/>
        </w:numPr>
        <w:adjustRightInd w:val="0"/>
        <w:snapToGrid w:val="0"/>
        <w:spacing w:line="360" w:lineRule="auto"/>
      </w:pPr>
      <w:r>
        <w:rPr>
          <w:rFonts w:hint="eastAsia"/>
        </w:rPr>
        <w:t>深度调峰工况下宜对给水泵最小流量阀控制进行优化，确保给水流量稳定，避免频繁波动。</w:t>
      </w:r>
    </w:p>
    <w:p w14:paraId="23E1C5FC">
      <w:pPr>
        <w:pStyle w:val="178"/>
        <w:numPr>
          <w:ilvl w:val="0"/>
          <w:numId w:val="39"/>
        </w:numPr>
        <w:adjustRightInd w:val="0"/>
        <w:snapToGrid w:val="0"/>
        <w:spacing w:line="360" w:lineRule="auto"/>
      </w:pPr>
      <w:r>
        <w:rPr>
          <w:rFonts w:hint="eastAsia"/>
        </w:rPr>
        <w:t>对有多台给水泵的机组，深度调峰期间存在单/双泵切换情况的，宜具备给水泵自动并、退泵功能。</w:t>
      </w:r>
    </w:p>
    <w:p w14:paraId="693075EE">
      <w:pPr>
        <w:pStyle w:val="178"/>
        <w:numPr>
          <w:ilvl w:val="0"/>
          <w:numId w:val="39"/>
        </w:numPr>
        <w:adjustRightInd w:val="0"/>
        <w:snapToGrid w:val="0"/>
        <w:spacing w:line="360" w:lineRule="auto"/>
      </w:pPr>
      <w:r>
        <w:rPr>
          <w:rFonts w:hint="eastAsia"/>
        </w:rPr>
        <w:t>涉及给水主、旁路切换的机组，应具备给水全程自动控制，以保证锅炉水动力安全。</w:t>
      </w:r>
    </w:p>
    <w:p w14:paraId="1F12F98B">
      <w:pPr>
        <w:pStyle w:val="178"/>
        <w:numPr>
          <w:ilvl w:val="0"/>
          <w:numId w:val="39"/>
        </w:numPr>
        <w:adjustRightInd w:val="0"/>
        <w:snapToGrid w:val="0"/>
        <w:spacing w:line="360" w:lineRule="auto"/>
      </w:pPr>
      <w:r>
        <w:rPr>
          <w:rFonts w:hint="eastAsia"/>
        </w:rPr>
        <w:t>深度调峰运行时，宜避免汽轮机中压调节阀参与有功功率闭环调节。</w:t>
      </w:r>
    </w:p>
    <w:p w14:paraId="60E77655">
      <w:pPr>
        <w:pStyle w:val="178"/>
        <w:numPr>
          <w:ilvl w:val="0"/>
          <w:numId w:val="39"/>
        </w:numPr>
        <w:adjustRightInd w:val="0"/>
        <w:snapToGrid w:val="0"/>
        <w:spacing w:line="360" w:lineRule="auto"/>
      </w:pPr>
      <w:r>
        <w:rPr>
          <w:rFonts w:hint="eastAsia"/>
        </w:rPr>
        <w:t>深度调峰下限运行时，应保证机组一次调频动作负荷向下调节的安全性。</w:t>
      </w:r>
    </w:p>
    <w:p w14:paraId="376459B5">
      <w:pPr>
        <w:pStyle w:val="109"/>
      </w:pPr>
      <w:r>
        <w:rPr>
          <w:rFonts w:hint="eastAsia"/>
        </w:rPr>
        <w:t>改造后性能验收</w:t>
      </w:r>
    </w:p>
    <w:p w14:paraId="796DC5EC">
      <w:pPr>
        <w:pStyle w:val="169"/>
        <w:adjustRightInd w:val="0"/>
        <w:snapToGrid w:val="0"/>
        <w:spacing w:line="360" w:lineRule="auto"/>
      </w:pPr>
      <w:r>
        <w:rPr>
          <w:rFonts w:hint="eastAsia"/>
        </w:rPr>
        <w:t>完成深度调峰改造后，应委托有资质的第三方开展深度调峰验收试验，试验内容应包括：一次调频试验、AGC试验、发电机进相试验、PSS试验、环保排放试验等，宜开展试验内容包括：锅炉效率试验、锅炉最低稳燃试验、空气预热器漏风试验、热工保护逻辑及定值核查及评价、模拟量控制系统验收及评价、汽轮机热耗试验、汽轮机缸效等。</w:t>
      </w:r>
    </w:p>
    <w:p w14:paraId="5EE96C23">
      <w:pPr>
        <w:pStyle w:val="169"/>
        <w:adjustRightInd w:val="0"/>
        <w:snapToGrid w:val="0"/>
        <w:spacing w:line="360" w:lineRule="auto"/>
      </w:pPr>
      <w:r>
        <w:rPr>
          <w:rFonts w:hint="eastAsia"/>
        </w:rPr>
        <w:t>模拟量控制系统验收及评价主要技术指标应满足DL/T 657的要求，确保机组模拟量控制系统的调节品质和调节安全性。</w:t>
      </w:r>
    </w:p>
    <w:p w14:paraId="10D61398">
      <w:pPr>
        <w:pStyle w:val="169"/>
        <w:adjustRightInd w:val="0"/>
        <w:snapToGrid w:val="0"/>
        <w:spacing w:line="360" w:lineRule="auto"/>
      </w:pPr>
      <w:r>
        <w:rPr>
          <w:rFonts w:hint="eastAsia"/>
        </w:rPr>
        <w:t>一次调频性能测试主要技术指标应满足GB/T 30370和GB/T 40595的要求。</w:t>
      </w:r>
    </w:p>
    <w:p w14:paraId="7596C22E">
      <w:pPr>
        <w:pStyle w:val="169"/>
        <w:adjustRightInd w:val="0"/>
        <w:snapToGrid w:val="0"/>
        <w:spacing w:line="360" w:lineRule="auto"/>
      </w:pPr>
      <w:r>
        <w:rPr>
          <w:rFonts w:hint="eastAsia"/>
        </w:rPr>
        <w:t>AGC性能主要技术指标应满足DL/T 1210的要求。</w:t>
      </w:r>
    </w:p>
    <w:p w14:paraId="18A5C80B">
      <w:pPr>
        <w:pStyle w:val="169"/>
        <w:adjustRightInd w:val="0"/>
        <w:snapToGrid w:val="0"/>
        <w:spacing w:line="360" w:lineRule="auto"/>
      </w:pPr>
      <w:r>
        <w:rPr>
          <w:rFonts w:hint="eastAsia"/>
        </w:rPr>
        <w:t>发电机进相能力应不小于50%额定负荷时的进相能力。</w:t>
      </w:r>
    </w:p>
    <w:p w14:paraId="208E911D">
      <w:pPr>
        <w:pStyle w:val="169"/>
        <w:adjustRightInd w:val="0"/>
        <w:snapToGrid w:val="0"/>
        <w:spacing w:line="360" w:lineRule="auto"/>
      </w:pPr>
      <w:r>
        <w:rPr>
          <w:rFonts w:hint="eastAsia"/>
        </w:rPr>
        <w:t>PSS功能应全程正常投入，PSS性能主要技术指标应满足GB/T 40591要求。</w:t>
      </w:r>
    </w:p>
    <w:p w14:paraId="4D74F524">
      <w:pPr>
        <w:pStyle w:val="169"/>
        <w:adjustRightInd w:val="0"/>
        <w:snapToGrid w:val="0"/>
        <w:spacing w:line="360" w:lineRule="auto"/>
      </w:pPr>
      <w:r>
        <w:rPr>
          <w:rFonts w:hint="eastAsia"/>
        </w:rPr>
        <w:t>锅炉效率试验应满足 GB/T 10184 要求。</w:t>
      </w:r>
    </w:p>
    <w:p w14:paraId="397A2502">
      <w:pPr>
        <w:pStyle w:val="169"/>
        <w:adjustRightInd w:val="0"/>
        <w:snapToGrid w:val="0"/>
        <w:spacing w:line="360" w:lineRule="auto"/>
      </w:pPr>
      <w:r>
        <w:rPr>
          <w:rFonts w:hint="eastAsia"/>
        </w:rPr>
        <w:t>汽轮机热耗试验应满足 GB/T 8117.1要求。</w:t>
      </w:r>
    </w:p>
    <w:p w14:paraId="36FD5650">
      <w:pPr>
        <w:pStyle w:val="169"/>
        <w:adjustRightInd w:val="0"/>
        <w:snapToGrid w:val="0"/>
        <w:spacing w:line="360" w:lineRule="auto"/>
      </w:pPr>
      <w:r>
        <w:rPr>
          <w:rFonts w:hint="eastAsia"/>
        </w:rPr>
        <w:t>深度调峰目标负荷下，锅炉燃烧稳定，机组各主、辅设备运行参数不超限，烟气污染物排放浓度满足当地环保要求或超低排放限值要求。</w:t>
      </w:r>
    </w:p>
    <w:p w14:paraId="5630E7C6">
      <w:pPr>
        <w:pStyle w:val="109"/>
      </w:pPr>
      <w:r>
        <w:rPr>
          <w:rFonts w:hint="eastAsia"/>
        </w:rPr>
        <w:t>重点部位检查</w:t>
      </w:r>
    </w:p>
    <w:p w14:paraId="4C30A750">
      <w:pPr>
        <w:pStyle w:val="60"/>
        <w:spacing w:line="360" w:lineRule="auto"/>
      </w:pPr>
      <w:r>
        <w:rPr>
          <w:rFonts w:hint="eastAsia"/>
        </w:rPr>
        <w:t>应重点监测和评估厚壁承压部件的壁温差与寿命损耗，包括：</w:t>
      </w:r>
    </w:p>
    <w:p w14:paraId="387165A5">
      <w:pPr>
        <w:pStyle w:val="60"/>
        <w:spacing w:line="360" w:lineRule="auto"/>
      </w:pPr>
      <w:r>
        <w:rPr>
          <w:rFonts w:hint="eastAsia"/>
        </w:rPr>
        <w:t>（1）储水罐、汽水分离器及进出口混合集箱；</w:t>
      </w:r>
    </w:p>
    <w:p w14:paraId="37A28577">
      <w:pPr>
        <w:pStyle w:val="60"/>
        <w:spacing w:line="360" w:lineRule="auto"/>
      </w:pPr>
      <w:r>
        <w:rPr>
          <w:rFonts w:hint="eastAsia"/>
        </w:rPr>
        <w:t>（2）低温/高温再热器进出口集箱；</w:t>
      </w:r>
    </w:p>
    <w:p w14:paraId="2DCB9AF8">
      <w:pPr>
        <w:pStyle w:val="60"/>
        <w:spacing w:line="360" w:lineRule="auto"/>
      </w:pPr>
      <w:r>
        <w:rPr>
          <w:rFonts w:hint="eastAsia"/>
        </w:rPr>
        <w:t>（3）屏式过热器、低温/高温过热器进出口集箱。</w:t>
      </w:r>
    </w:p>
    <w:p w14:paraId="06230101">
      <w:pPr>
        <w:pStyle w:val="108"/>
        <w:spacing w:before="240" w:after="240"/>
      </w:pPr>
      <w:bookmarkStart w:id="59" w:name="_Toc23115"/>
      <w:r>
        <w:rPr>
          <w:rFonts w:hint="eastAsia"/>
        </w:rPr>
        <w:t>运行监控与维护</w:t>
      </w:r>
      <w:bookmarkEnd w:id="59"/>
    </w:p>
    <w:p w14:paraId="5ADC9A86">
      <w:pPr>
        <w:pStyle w:val="109"/>
      </w:pPr>
      <w:r>
        <w:rPr>
          <w:rFonts w:hint="eastAsia"/>
        </w:rPr>
        <w:t>锅炉运行维护</w:t>
      </w:r>
    </w:p>
    <w:p w14:paraId="23745A65">
      <w:pPr>
        <w:pStyle w:val="69"/>
        <w:spacing w:before="120" w:after="120"/>
        <w:rPr>
          <w:szCs w:val="21"/>
        </w:rPr>
      </w:pPr>
      <w:r>
        <w:rPr>
          <w:rFonts w:hint="eastAsia"/>
        </w:rPr>
        <w:t>燃烧系统与制粉系统</w:t>
      </w:r>
    </w:p>
    <w:p w14:paraId="498370A8">
      <w:pPr>
        <w:pStyle w:val="168"/>
        <w:spacing w:line="360" w:lineRule="auto"/>
      </w:pPr>
      <w:r>
        <w:rPr>
          <w:rFonts w:hint="eastAsia"/>
        </w:rPr>
        <w:t>应制定锅炉主辅设备深度调峰技术措施，内容包括但不限于：配煤掺烧，锅炉稳燃，防止锅炉炉膛爆炸，防止制粉系统爆炸，防止蓬煤堵煤，防止满水缺水，防止尾部再燃烧等。应结合锅炉主辅设备配置技术特点制订防治措施。</w:t>
      </w:r>
    </w:p>
    <w:p w14:paraId="54A75AC7">
      <w:pPr>
        <w:pStyle w:val="168"/>
        <w:spacing w:line="360" w:lineRule="auto"/>
      </w:pPr>
      <w:r>
        <w:rPr>
          <w:rFonts w:hint="eastAsia"/>
        </w:rPr>
        <w:t>机组深度调峰期间的最大负荷变化率应通过机组负荷变动试验确定，在变负荷运行时，负荷变化率不应超过试验确定的最大值。</w:t>
      </w:r>
    </w:p>
    <w:p w14:paraId="3BE6982C">
      <w:pPr>
        <w:pStyle w:val="168"/>
        <w:spacing w:line="360" w:lineRule="auto"/>
      </w:pPr>
      <w:r>
        <w:rPr>
          <w:rFonts w:hint="eastAsia"/>
        </w:rPr>
        <w:t>应通过试验确定深度调峰期间主辅机运行方式，建立相应的风煤比、水煤比、运行氧量、一次风压、二次风量、配风方式、二次风箱/炉膛差压、煤粉细度、直流燃烧器摆角或旋流燃烧器旋流强度、磨煤机出口温度等参数的控制策略。</w:t>
      </w:r>
    </w:p>
    <w:p w14:paraId="59F137C5">
      <w:pPr>
        <w:pStyle w:val="168"/>
        <w:spacing w:line="360" w:lineRule="auto"/>
      </w:pPr>
      <w:r>
        <w:rPr>
          <w:rFonts w:hint="eastAsia"/>
        </w:rPr>
        <w:t>机组深度调峰至20%～25%额定负荷时，应在保证安全的前提下，通过调整磨煤机分离器挡板开度或分离器转速降低煤粉细度，提高煤粉均匀性。应监测飞灰含碳量变化，避免锅炉效率显著下降。宜采用煤粉浓缩燃烧技术和控制风煤比提高燃烧器煤粉浓度，适当提高一次风温等措施保证锅炉低负荷燃烧稳定性。</w:t>
      </w:r>
    </w:p>
    <w:p w14:paraId="4445D864">
      <w:pPr>
        <w:pStyle w:val="168"/>
        <w:spacing w:line="360" w:lineRule="auto"/>
      </w:pPr>
      <w:r>
        <w:rPr>
          <w:rFonts w:hint="eastAsia"/>
        </w:rPr>
        <w:t>发电企业宜储备少量挥发分高的易燃煤种，深度调峰时可通过掺烧部分高挥发分煤提高锅炉燃烧稳定性。</w:t>
      </w:r>
    </w:p>
    <w:p w14:paraId="42390B3B">
      <w:pPr>
        <w:pStyle w:val="168"/>
        <w:spacing w:line="360" w:lineRule="auto"/>
      </w:pPr>
      <w:r>
        <w:rPr>
          <w:rFonts w:hint="eastAsia"/>
        </w:rPr>
        <w:t>宜通过减小停备燃烧器风量、燃尽风风量、干排渣系统冷却风量，减少燃烧器无组织漏风等措施，提高二次风箱/炉膛差压。</w:t>
      </w:r>
    </w:p>
    <w:p w14:paraId="6C923CF5">
      <w:pPr>
        <w:pStyle w:val="168"/>
        <w:spacing w:line="360" w:lineRule="auto"/>
      </w:pPr>
      <w:r>
        <w:rPr>
          <w:rFonts w:hint="eastAsia"/>
        </w:rPr>
        <w:t>应结合实际情况确定磨煤机投运台数和组合方式，提高锅炉燃烧安全稳定性。</w:t>
      </w:r>
    </w:p>
    <w:p w14:paraId="783FC968">
      <w:pPr>
        <w:pStyle w:val="168"/>
        <w:spacing w:line="360" w:lineRule="auto"/>
      </w:pPr>
      <w:r>
        <w:rPr>
          <w:rFonts w:hint="eastAsia"/>
        </w:rPr>
        <w:t>应开展低负荷精细化燃烧优化调整试验，降低烟气侧和工质侧的偏差，提升脱硝装置入口烟温，降低NOx浓度。</w:t>
      </w:r>
    </w:p>
    <w:p w14:paraId="77567527">
      <w:pPr>
        <w:pStyle w:val="168"/>
        <w:spacing w:line="360" w:lineRule="auto"/>
      </w:pPr>
      <w:r>
        <w:rPr>
          <w:rFonts w:hint="eastAsia"/>
        </w:rPr>
        <w:t>对于直流炉，应避免在干湿态转换点附近运行，若无法避免，应缩短在该区间的停留时间，并加强壁温监视。</w:t>
      </w:r>
    </w:p>
    <w:p w14:paraId="4DDD07AB">
      <w:pPr>
        <w:pStyle w:val="168"/>
        <w:spacing w:line="360" w:lineRule="auto"/>
      </w:pPr>
      <w:r>
        <w:rPr>
          <w:rFonts w:hint="eastAsia"/>
        </w:rPr>
        <w:t>深度调峰运行时存在省煤器汽化风险的机组，应设置省煤器汽化报警，省煤器出口给水温度过冷度（饱和温度与实测温度之差）应不低于5℃。可通过控制降负荷速率、增加给水流量、降低入炉燃料量、降低分离器出口过热度、降低主蒸汽温度、降低给水温度等措施防止省煤器汽化。</w:t>
      </w:r>
    </w:p>
    <w:p w14:paraId="2D089AEF">
      <w:pPr>
        <w:pStyle w:val="168"/>
        <w:spacing w:line="360" w:lineRule="auto"/>
      </w:pPr>
      <w:r>
        <w:rPr>
          <w:rFonts w:hint="eastAsia"/>
        </w:rPr>
        <w:t>宜定期进行锅炉漏风试验或核算，根据结果制定维护检修方案。</w:t>
      </w:r>
    </w:p>
    <w:p w14:paraId="4F6D4AD7">
      <w:pPr>
        <w:pStyle w:val="168"/>
        <w:spacing w:line="360" w:lineRule="auto"/>
      </w:pPr>
      <w:r>
        <w:rPr>
          <w:rFonts w:hint="eastAsia"/>
        </w:rPr>
        <w:t>应根据燃烧器和制粉系统实际运行情况，制定有针对性的维护和定期检修方案。</w:t>
      </w:r>
    </w:p>
    <w:p w14:paraId="4E8B24DB">
      <w:pPr>
        <w:pStyle w:val="168"/>
        <w:spacing w:line="360" w:lineRule="auto"/>
      </w:pPr>
      <w:r>
        <w:rPr>
          <w:rFonts w:hint="eastAsia"/>
        </w:rPr>
        <w:t>长时间深度调峰结束后，应对炉膛进行一次全面吹灰。</w:t>
      </w:r>
    </w:p>
    <w:p w14:paraId="674E62FA">
      <w:pPr>
        <w:pStyle w:val="69"/>
        <w:spacing w:before="120" w:after="120"/>
      </w:pPr>
      <w:r>
        <w:rPr>
          <w:rFonts w:hint="eastAsia"/>
        </w:rPr>
        <w:t>受压元件</w:t>
      </w:r>
    </w:p>
    <w:p w14:paraId="5C97BBCA">
      <w:pPr>
        <w:pStyle w:val="168"/>
        <w:spacing w:line="360" w:lineRule="auto"/>
      </w:pPr>
      <w:r>
        <w:rPr>
          <w:rFonts w:hint="eastAsia"/>
        </w:rPr>
        <w:t>进行深调前，应对受热面壁温测点进行校对，确保壁温测点与设计相符。如出现错漏，应及时纠错并安装正确。</w:t>
      </w:r>
    </w:p>
    <w:p w14:paraId="7F7CAFFF">
      <w:pPr>
        <w:pStyle w:val="168"/>
        <w:spacing w:line="360" w:lineRule="auto"/>
      </w:pPr>
      <w:r>
        <w:rPr>
          <w:rFonts w:hint="eastAsia"/>
        </w:rPr>
        <w:t>在低负荷情况下，应密切监视受热面壁温变化，加强运行调整，防止低负荷受热面超温。</w:t>
      </w:r>
    </w:p>
    <w:p w14:paraId="7AB9DB6F">
      <w:pPr>
        <w:pStyle w:val="168"/>
        <w:spacing w:line="360" w:lineRule="auto"/>
      </w:pPr>
      <w:r>
        <w:rPr>
          <w:rFonts w:hint="eastAsia"/>
        </w:rPr>
        <w:t>在灵活性运行中，应通过有限元分析、无损检测等方法，对厚壁部件、集箱的寿命进行定期评估，定期维护或检修。</w:t>
      </w:r>
    </w:p>
    <w:p w14:paraId="3D066C7D">
      <w:pPr>
        <w:pStyle w:val="168"/>
        <w:spacing w:line="360" w:lineRule="auto"/>
      </w:pPr>
      <w:r>
        <w:rPr>
          <w:rFonts w:hint="eastAsia"/>
        </w:rPr>
        <w:t>应密切关注低负荷炉内燃烧状态，避免出现火焰贴墙等导致局部热负荷不均的问题。</w:t>
      </w:r>
    </w:p>
    <w:p w14:paraId="2DF5D22B">
      <w:pPr>
        <w:pStyle w:val="168"/>
        <w:spacing w:line="360" w:lineRule="auto"/>
      </w:pPr>
      <w:r>
        <w:rPr>
          <w:rFonts w:hint="eastAsia"/>
        </w:rPr>
        <w:t>应定期巡检受热面管屏情况，发现问题及时和设备制造厂沟通并制定解决方案。</w:t>
      </w:r>
    </w:p>
    <w:p w14:paraId="27AD5D50">
      <w:pPr>
        <w:pStyle w:val="109"/>
      </w:pPr>
      <w:r>
        <w:rPr>
          <w:rFonts w:hint="eastAsia"/>
        </w:rPr>
        <w:t>汽轮机运行维护</w:t>
      </w:r>
    </w:p>
    <w:p w14:paraId="71ED02FA">
      <w:pPr>
        <w:pStyle w:val="69"/>
        <w:spacing w:before="120" w:after="120"/>
      </w:pPr>
      <w:r>
        <w:rPr>
          <w:rFonts w:hint="eastAsia"/>
        </w:rPr>
        <w:t>常规运维检修</w:t>
      </w:r>
    </w:p>
    <w:p w14:paraId="52F77157">
      <w:pPr>
        <w:pStyle w:val="168"/>
        <w:spacing w:line="360" w:lineRule="auto"/>
      </w:pPr>
      <w:r>
        <w:rPr>
          <w:rFonts w:hint="eastAsia"/>
        </w:rPr>
        <w:t>深度调峰时应重点监控汽轮机推力轴承温度、轴向位移、胀差、振动、排汽温度、叶片振动等关键参数。</w:t>
      </w:r>
    </w:p>
    <w:p w14:paraId="7E665530">
      <w:pPr>
        <w:pStyle w:val="168"/>
        <w:spacing w:line="360" w:lineRule="auto"/>
      </w:pPr>
      <w:r>
        <w:rPr>
          <w:rFonts w:hint="eastAsia"/>
        </w:rPr>
        <w:t>应限制低压缸鼓风工况，注意控制变负荷速率和蒸汽参数，防止汽流激振和油膜振荡。</w:t>
      </w:r>
    </w:p>
    <w:p w14:paraId="19849875">
      <w:pPr>
        <w:pStyle w:val="168"/>
        <w:spacing w:line="360" w:lineRule="auto"/>
      </w:pPr>
      <w:r>
        <w:rPr>
          <w:rFonts w:hint="eastAsia"/>
        </w:rPr>
        <w:t>应制定严格的运行规范和检修评估制度，定期对汽轮机关键部件的设备损耗、寿命损伤进行评估、治理，延长机组运行寿命。</w:t>
      </w:r>
    </w:p>
    <w:p w14:paraId="69E1217F">
      <w:pPr>
        <w:pStyle w:val="168"/>
        <w:spacing w:line="360" w:lineRule="auto"/>
      </w:pPr>
      <w:r>
        <w:rPr>
          <w:rFonts w:hint="eastAsia"/>
        </w:rPr>
        <w:t>通过监测机组各项参数，掌握汽轮机组在冷、温、热态及变负荷工况运行时瞬态过程的力学疲劳、蠕变特性，定量评估转子、汽缸、阀门等关键部套在各种运行工况下的寿命损伤，检修时予以重点检查。</w:t>
      </w:r>
    </w:p>
    <w:p w14:paraId="51BD9ECB">
      <w:pPr>
        <w:pStyle w:val="168"/>
        <w:spacing w:line="360" w:lineRule="auto"/>
      </w:pPr>
      <w:r>
        <w:rPr>
          <w:rFonts w:hint="eastAsia"/>
        </w:rPr>
        <w:t>对于采用特殊密封形式的汽轮机，如无特殊情况，应返回设备制造厂进行检修，通过检修消除现有机组缺陷，提高机组性能，并结合专业检修知识及厂家指导意见，有重点地进行系统性检修。</w:t>
      </w:r>
    </w:p>
    <w:p w14:paraId="0F34427F">
      <w:pPr>
        <w:pStyle w:val="69"/>
        <w:spacing w:before="120" w:after="120"/>
      </w:pPr>
      <w:r>
        <w:rPr>
          <w:rFonts w:hint="eastAsia"/>
        </w:rPr>
        <w:t>精益化运维检修</w:t>
      </w:r>
    </w:p>
    <w:p w14:paraId="08CA2F75">
      <w:pPr>
        <w:pStyle w:val="168"/>
        <w:spacing w:line="360" w:lineRule="auto"/>
      </w:pPr>
      <w:r>
        <w:rPr>
          <w:rFonts w:hint="eastAsia"/>
          <w:spacing w:val="-2"/>
        </w:rPr>
        <w:t>设备厂家应利用自身的技术和生产优势，为电厂提供机组可研、备件、改造、运维、检修、安装、调试等全方位、全生命周期服务。</w:t>
      </w:r>
    </w:p>
    <w:p w14:paraId="288ADBCA">
      <w:pPr>
        <w:pStyle w:val="168"/>
        <w:spacing w:line="360" w:lineRule="auto"/>
        <w:rPr>
          <w:spacing w:val="-2"/>
        </w:rPr>
      </w:pPr>
      <w:r>
        <w:rPr>
          <w:rFonts w:hint="eastAsia"/>
          <w:spacing w:val="-2"/>
        </w:rPr>
        <w:t>提供菜单式检修方案、检修总包服务、对在役机组进行系统优化升级、搭建“互联网+”服务平台等检修服务。</w:t>
      </w:r>
    </w:p>
    <w:p w14:paraId="3B3A7113">
      <w:pPr>
        <w:pStyle w:val="109"/>
      </w:pPr>
      <w:r>
        <w:rPr>
          <w:rFonts w:hint="eastAsia"/>
        </w:rPr>
        <w:t>发电机运行维护</w:t>
      </w:r>
    </w:p>
    <w:p w14:paraId="3F763073">
      <w:pPr>
        <w:pStyle w:val="169"/>
        <w:adjustRightInd w:val="0"/>
        <w:snapToGrid w:val="0"/>
        <w:spacing w:line="360" w:lineRule="auto"/>
      </w:pPr>
      <w:r>
        <w:rPr>
          <w:rFonts w:hint="eastAsia"/>
        </w:rPr>
        <w:t>应严格按照制造厂说明书执行长期连续运行、冷却介质性质及参数发生变化后运行、变功率因数运行、过负载运行、失磁异步运行、进相运行、不平衡负载运行、调峰运行等的允许运行方式。对于制造厂说明书没有明确的内容，须及时与制造厂沟通确认。</w:t>
      </w:r>
    </w:p>
    <w:p w14:paraId="0C067B04">
      <w:pPr>
        <w:pStyle w:val="169"/>
        <w:adjustRightInd w:val="0"/>
        <w:snapToGrid w:val="0"/>
        <w:spacing w:line="360" w:lineRule="auto"/>
      </w:pPr>
      <w:r>
        <w:rPr>
          <w:rFonts w:hint="eastAsia"/>
        </w:rPr>
        <w:t>应做好日常监视、判断和维护，在汽轮发电机日常运行过程中要密切监视运行参数和可视重要部件的检查，实时监测定子温度、铁芯温度、端部振动、绝缘参数、冷却介质参数，定期监测定子端部紧固性、绝缘性能和转子状态。</w:t>
      </w:r>
    </w:p>
    <w:p w14:paraId="0804CA5A">
      <w:pPr>
        <w:pStyle w:val="169"/>
        <w:adjustRightInd w:val="0"/>
        <w:snapToGrid w:val="0"/>
        <w:spacing w:line="360" w:lineRule="auto"/>
      </w:pPr>
      <w:r>
        <w:rPr>
          <w:rFonts w:hint="eastAsia"/>
        </w:rPr>
        <w:t>应充分利用同期数据和历史数据对汽轮发电机的运行状态进行判断，做好重要监视仪器、仪表的检查。</w:t>
      </w:r>
    </w:p>
    <w:p w14:paraId="09ADD5F7">
      <w:pPr>
        <w:pStyle w:val="109"/>
      </w:pPr>
      <w:r>
        <w:rPr>
          <w:rFonts w:hint="eastAsia"/>
        </w:rPr>
        <w:t>热工与电气监控</w:t>
      </w:r>
    </w:p>
    <w:p w14:paraId="4015E4CB">
      <w:pPr>
        <w:pStyle w:val="169"/>
        <w:adjustRightInd w:val="0"/>
        <w:snapToGrid w:val="0"/>
        <w:spacing w:line="360" w:lineRule="auto"/>
      </w:pPr>
      <w:r>
        <w:rPr>
          <w:rFonts w:hint="eastAsia"/>
        </w:rPr>
        <w:t>保证监控系统工作可靠，实时采集壁温、烟温、氨逃逸、风机振动、叶片振动等关键数据。</w:t>
      </w:r>
    </w:p>
    <w:p w14:paraId="0107435A">
      <w:pPr>
        <w:pStyle w:val="169"/>
        <w:adjustRightInd w:val="0"/>
        <w:snapToGrid w:val="0"/>
        <w:spacing w:line="360" w:lineRule="auto"/>
      </w:pPr>
      <w:r>
        <w:rPr>
          <w:rFonts w:hint="eastAsia"/>
        </w:rPr>
        <w:t>所有热工保护正常投入，投入率达到100%，重要保护不应随意解除。</w:t>
      </w:r>
    </w:p>
    <w:p w14:paraId="64331436">
      <w:pPr>
        <w:pStyle w:val="169"/>
        <w:adjustRightInd w:val="0"/>
        <w:snapToGrid w:val="0"/>
        <w:spacing w:line="360" w:lineRule="auto"/>
      </w:pPr>
      <w:r>
        <w:rPr>
          <w:rFonts w:hint="eastAsia"/>
        </w:rPr>
        <w:t>保证厂用电可靠性，低负荷下厂用电切换应无扰动。</w:t>
      </w:r>
    </w:p>
    <w:p w14:paraId="173C44B2">
      <w:pPr>
        <w:pStyle w:val="108"/>
        <w:spacing w:before="240" w:after="240"/>
      </w:pPr>
      <w:bookmarkStart w:id="60" w:name="_Toc25751"/>
      <w:r>
        <w:rPr>
          <w:rFonts w:hint="eastAsia"/>
        </w:rPr>
        <w:t>设备管理与检修</w:t>
      </w:r>
      <w:bookmarkEnd w:id="60"/>
    </w:p>
    <w:p w14:paraId="730A90F2">
      <w:pPr>
        <w:pStyle w:val="166"/>
        <w:adjustRightInd w:val="0"/>
        <w:snapToGrid w:val="0"/>
        <w:spacing w:line="360" w:lineRule="auto"/>
      </w:pPr>
      <w:r>
        <w:rPr>
          <w:rFonts w:hint="eastAsia"/>
        </w:rPr>
        <w:t>宜建立深度调峰专项设备台账，记录调峰时长、频次、故障、检修内容等信息。</w:t>
      </w:r>
    </w:p>
    <w:p w14:paraId="36023E2F">
      <w:pPr>
        <w:pStyle w:val="166"/>
        <w:adjustRightInd w:val="0"/>
        <w:snapToGrid w:val="0"/>
        <w:spacing w:line="360" w:lineRule="auto"/>
      </w:pPr>
      <w:r>
        <w:rPr>
          <w:rFonts w:hint="eastAsia"/>
        </w:rPr>
        <w:t>应根据调峰强度，合理缩短检修周期、扩大检修范围，重点检修汽轮机叶片、高温受热面、发电机绝缘、空气预热器、SCR催化剂等部件。</w:t>
      </w:r>
    </w:p>
    <w:p w14:paraId="6ED1A444">
      <w:pPr>
        <w:pStyle w:val="166"/>
        <w:adjustRightInd w:val="0"/>
        <w:snapToGrid w:val="0"/>
        <w:spacing w:line="360" w:lineRule="auto"/>
      </w:pPr>
      <w:r>
        <w:rPr>
          <w:rFonts w:hint="eastAsia"/>
        </w:rPr>
        <w:t>应对锅炉、汽轮机、发电机关键部件开展专项检修，具体内容包括但不限于：</w:t>
      </w:r>
    </w:p>
    <w:p w14:paraId="1C9B32E4">
      <w:pPr>
        <w:pStyle w:val="166"/>
        <w:numPr>
          <w:ilvl w:val="255"/>
          <w:numId w:val="0"/>
        </w:numPr>
        <w:spacing w:line="360" w:lineRule="auto"/>
        <w:ind w:firstLine="412" w:firstLineChars="200"/>
        <w:jc w:val="left"/>
        <w:rPr>
          <w:spacing w:val="-2"/>
          <w:lang w:bidi="ar"/>
        </w:rPr>
      </w:pPr>
      <w:r>
        <w:rPr>
          <w:rFonts w:hint="eastAsia"/>
          <w:spacing w:val="-2"/>
        </w:rPr>
        <w:t>——</w:t>
      </w:r>
      <w:r>
        <w:rPr>
          <w:spacing w:val="-2"/>
          <w:lang w:bidi="ar"/>
        </w:rPr>
        <w:t>锅炉</w:t>
      </w:r>
      <w:r>
        <w:rPr>
          <w:rFonts w:hint="eastAsia"/>
          <w:spacing w:val="-2"/>
          <w:lang w:bidi="ar"/>
        </w:rPr>
        <w:t>：</w:t>
      </w:r>
      <w:r>
        <w:rPr>
          <w:spacing w:val="-2"/>
          <w:lang w:bidi="ar"/>
        </w:rPr>
        <w:t>受热面</w:t>
      </w:r>
      <w:r>
        <w:rPr>
          <w:rFonts w:hint="eastAsia"/>
          <w:spacing w:val="-2"/>
          <w:lang w:bidi="ar"/>
        </w:rPr>
        <w:t>检查</w:t>
      </w:r>
      <w:r>
        <w:rPr>
          <w:spacing w:val="-2"/>
          <w:lang w:bidi="ar"/>
        </w:rPr>
        <w:t>、壁温测点校验、燃烧器检查、</w:t>
      </w:r>
      <w:r>
        <w:rPr>
          <w:rFonts w:hint="eastAsia"/>
          <w:spacing w:val="-2"/>
          <w:lang w:bidi="ar"/>
        </w:rPr>
        <w:t>空气预热器</w:t>
      </w:r>
      <w:r>
        <w:rPr>
          <w:spacing w:val="-2"/>
          <w:lang w:bidi="ar"/>
        </w:rPr>
        <w:t>清洗</w:t>
      </w:r>
      <w:r>
        <w:rPr>
          <w:rFonts w:hint="eastAsia"/>
          <w:spacing w:val="-2"/>
          <w:lang w:bidi="ar"/>
        </w:rPr>
        <w:t>；</w:t>
      </w:r>
    </w:p>
    <w:p w14:paraId="6091D230">
      <w:pPr>
        <w:pStyle w:val="166"/>
        <w:numPr>
          <w:ilvl w:val="255"/>
          <w:numId w:val="0"/>
        </w:numPr>
        <w:spacing w:line="360" w:lineRule="auto"/>
        <w:ind w:firstLine="412" w:firstLineChars="200"/>
        <w:jc w:val="left"/>
        <w:rPr>
          <w:spacing w:val="-2"/>
          <w:lang w:bidi="ar"/>
        </w:rPr>
      </w:pPr>
      <w:r>
        <w:rPr>
          <w:rFonts w:hint="eastAsia"/>
          <w:spacing w:val="-2"/>
          <w:lang w:bidi="ar"/>
        </w:rPr>
        <w:t>——</w:t>
      </w:r>
      <w:r>
        <w:rPr>
          <w:spacing w:val="-2"/>
          <w:lang w:bidi="ar"/>
        </w:rPr>
        <w:t>汽轮机</w:t>
      </w:r>
      <w:r>
        <w:rPr>
          <w:rFonts w:hint="eastAsia"/>
          <w:spacing w:val="-2"/>
          <w:lang w:bidi="ar"/>
        </w:rPr>
        <w:t>：</w:t>
      </w:r>
      <w:r>
        <w:rPr>
          <w:spacing w:val="-2"/>
          <w:lang w:bidi="ar"/>
        </w:rPr>
        <w:t>叶片水蚀检查、推力轴承检测、疏水阀</w:t>
      </w:r>
      <w:r>
        <w:rPr>
          <w:rFonts w:hint="eastAsia"/>
          <w:spacing w:val="-2"/>
          <w:lang w:bidi="ar"/>
        </w:rPr>
        <w:t>检查；</w:t>
      </w:r>
    </w:p>
    <w:p w14:paraId="5C9BC4DD">
      <w:pPr>
        <w:pStyle w:val="166"/>
        <w:numPr>
          <w:ilvl w:val="255"/>
          <w:numId w:val="0"/>
        </w:numPr>
        <w:spacing w:line="360" w:lineRule="auto"/>
        <w:ind w:firstLine="412" w:firstLineChars="200"/>
        <w:jc w:val="left"/>
        <w:rPr>
          <w:spacing w:val="-2"/>
        </w:rPr>
      </w:pPr>
      <w:r>
        <w:rPr>
          <w:rFonts w:hint="eastAsia"/>
          <w:spacing w:val="-2"/>
          <w:lang w:bidi="ar"/>
        </w:rPr>
        <w:t>——</w:t>
      </w:r>
      <w:r>
        <w:rPr>
          <w:spacing w:val="-2"/>
          <w:lang w:bidi="ar"/>
        </w:rPr>
        <w:t>发电</w:t>
      </w:r>
      <w:r>
        <w:rPr>
          <w:rFonts w:hint="eastAsia"/>
          <w:spacing w:val="-2"/>
          <w:lang w:bidi="ar"/>
        </w:rPr>
        <w:t>机：</w:t>
      </w:r>
      <w:r>
        <w:rPr>
          <w:spacing w:val="-2"/>
          <w:lang w:bidi="ar"/>
        </w:rPr>
        <w:t>端部紧固检查、绝缘检测、冷却系统清理。</w:t>
      </w:r>
    </w:p>
    <w:p w14:paraId="44268CBC">
      <w:pPr>
        <w:pStyle w:val="108"/>
        <w:spacing w:before="240" w:after="240"/>
      </w:pPr>
      <w:bookmarkStart w:id="61" w:name="_Toc1577"/>
      <w:r>
        <w:rPr>
          <w:rFonts w:hint="eastAsia"/>
        </w:rPr>
        <w:t>应急管理</w:t>
      </w:r>
      <w:bookmarkEnd w:id="61"/>
    </w:p>
    <w:p w14:paraId="346E4F78">
      <w:pPr>
        <w:pStyle w:val="109"/>
      </w:pPr>
      <w:r>
        <w:rPr>
          <w:rFonts w:hint="eastAsia"/>
        </w:rPr>
        <w:t>应急预案编制</w:t>
      </w:r>
    </w:p>
    <w:p w14:paraId="50F0A778">
      <w:pPr>
        <w:spacing w:line="360" w:lineRule="auto"/>
        <w:ind w:firstLine="420" w:firstLineChars="200"/>
        <w:rPr>
          <w:rFonts w:ascii="宋体" w:hAnsi="宋体" w:cs="宋体"/>
          <w:color w:val="000000"/>
          <w:kern w:val="0"/>
          <w:lang w:bidi="ar"/>
        </w:rPr>
      </w:pPr>
      <w:r>
        <w:rPr>
          <w:rFonts w:hint="eastAsia" w:ascii="宋体" w:hAnsi="宋体" w:cs="宋体"/>
          <w:color w:val="000000"/>
          <w:kern w:val="0"/>
          <w:lang w:bidi="ar"/>
        </w:rPr>
        <w:t>应</w:t>
      </w:r>
      <w:r>
        <w:rPr>
          <w:rFonts w:ascii="宋体" w:hAnsi="宋体" w:cs="宋体"/>
          <w:color w:val="000000"/>
          <w:kern w:val="0"/>
          <w:lang w:bidi="ar"/>
        </w:rPr>
        <w:t>针对深度调峰典型故障</w:t>
      </w:r>
      <w:r>
        <w:rPr>
          <w:rFonts w:hint="eastAsia" w:ascii="宋体" w:hAnsi="宋体" w:cs="宋体"/>
          <w:color w:val="000000"/>
          <w:kern w:val="0"/>
          <w:lang w:bidi="ar"/>
        </w:rPr>
        <w:t>和风险</w:t>
      </w:r>
      <w:r>
        <w:rPr>
          <w:rFonts w:ascii="宋体" w:hAnsi="宋体" w:cs="宋体"/>
          <w:color w:val="000000"/>
          <w:kern w:val="0"/>
          <w:lang w:bidi="ar"/>
        </w:rPr>
        <w:t>编制专项预案</w:t>
      </w:r>
      <w:r>
        <w:rPr>
          <w:rFonts w:hint="eastAsia" w:ascii="宋体" w:hAnsi="宋体" w:cs="宋体"/>
          <w:color w:val="000000"/>
          <w:kern w:val="0"/>
          <w:lang w:bidi="ar"/>
        </w:rPr>
        <w:t>，主要包括但不限于</w:t>
      </w:r>
      <w:r>
        <w:rPr>
          <w:rFonts w:ascii="宋体" w:hAnsi="宋体" w:cs="宋体"/>
          <w:color w:val="000000"/>
          <w:kern w:val="0"/>
          <w:lang w:bidi="ar"/>
        </w:rPr>
        <w:t>：</w:t>
      </w:r>
    </w:p>
    <w:p w14:paraId="1358727C">
      <w:pPr>
        <w:pStyle w:val="178"/>
        <w:numPr>
          <w:ilvl w:val="0"/>
          <w:numId w:val="40"/>
        </w:numPr>
        <w:adjustRightInd w:val="0"/>
        <w:snapToGrid w:val="0"/>
        <w:spacing w:line="360" w:lineRule="auto"/>
      </w:pPr>
      <w:r>
        <w:rPr>
          <w:rFonts w:hint="eastAsia"/>
        </w:rPr>
        <w:t>锅炉受热面超温、省煤器出口汽化；</w:t>
      </w:r>
    </w:p>
    <w:p w14:paraId="777690AC">
      <w:pPr>
        <w:pStyle w:val="178"/>
        <w:numPr>
          <w:ilvl w:val="0"/>
          <w:numId w:val="40"/>
        </w:numPr>
        <w:adjustRightInd w:val="0"/>
        <w:snapToGrid w:val="0"/>
        <w:spacing w:line="360" w:lineRule="auto"/>
      </w:pPr>
      <w:r>
        <w:rPr>
          <w:rFonts w:hint="eastAsia"/>
        </w:rPr>
        <w:t>炉膛灭火、制粉系统爆炸；</w:t>
      </w:r>
    </w:p>
    <w:p w14:paraId="457E584B">
      <w:pPr>
        <w:pStyle w:val="178"/>
        <w:numPr>
          <w:ilvl w:val="0"/>
          <w:numId w:val="40"/>
        </w:numPr>
        <w:adjustRightInd w:val="0"/>
        <w:snapToGrid w:val="0"/>
        <w:spacing w:line="360" w:lineRule="auto"/>
      </w:pPr>
      <w:r>
        <w:rPr>
          <w:rFonts w:hint="eastAsia"/>
        </w:rPr>
        <w:t>空气预热器堵塞、SCR氨逃逸高；</w:t>
      </w:r>
    </w:p>
    <w:p w14:paraId="46AE622F">
      <w:pPr>
        <w:pStyle w:val="178"/>
        <w:numPr>
          <w:ilvl w:val="0"/>
          <w:numId w:val="40"/>
        </w:numPr>
        <w:adjustRightInd w:val="0"/>
        <w:snapToGrid w:val="0"/>
        <w:spacing w:line="360" w:lineRule="auto"/>
      </w:pPr>
      <w:r>
        <w:rPr>
          <w:rFonts w:hint="eastAsia"/>
        </w:rPr>
        <w:t>汽轮机汽流激振、水蚀、振动超标；</w:t>
      </w:r>
    </w:p>
    <w:p w14:paraId="6CE490A1">
      <w:pPr>
        <w:pStyle w:val="178"/>
        <w:numPr>
          <w:ilvl w:val="0"/>
          <w:numId w:val="40"/>
        </w:numPr>
        <w:adjustRightInd w:val="0"/>
        <w:snapToGrid w:val="0"/>
        <w:spacing w:line="360" w:lineRule="auto"/>
      </w:pPr>
      <w:r>
        <w:rPr>
          <w:rFonts w:hint="eastAsia"/>
        </w:rPr>
        <w:t>发电机端部振动、绝缘损坏；</w:t>
      </w:r>
    </w:p>
    <w:p w14:paraId="19DB71D5">
      <w:pPr>
        <w:pStyle w:val="178"/>
        <w:numPr>
          <w:ilvl w:val="0"/>
          <w:numId w:val="40"/>
        </w:numPr>
        <w:adjustRightInd w:val="0"/>
        <w:snapToGrid w:val="0"/>
        <w:spacing w:line="360" w:lineRule="auto"/>
      </w:pPr>
      <w:r>
        <w:rPr>
          <w:rFonts w:hint="eastAsia"/>
        </w:rPr>
        <w:t>热工保护误动、辅机跳闸。</w:t>
      </w:r>
    </w:p>
    <w:p w14:paraId="0C3BE6B1">
      <w:pPr>
        <w:pStyle w:val="109"/>
      </w:pPr>
      <w:r>
        <w:rPr>
          <w:rFonts w:hint="eastAsia"/>
        </w:rPr>
        <w:t>应急演练与处置</w:t>
      </w:r>
    </w:p>
    <w:p w14:paraId="79A77277">
      <w:pPr>
        <w:pStyle w:val="169"/>
        <w:adjustRightInd w:val="0"/>
        <w:snapToGrid w:val="0"/>
        <w:spacing w:line="360" w:lineRule="auto"/>
      </w:pPr>
      <w:r>
        <w:rPr>
          <w:rFonts w:hint="eastAsia"/>
        </w:rPr>
        <w:t>应定期开展专项应急演练。</w:t>
      </w:r>
    </w:p>
    <w:p w14:paraId="5121149B">
      <w:pPr>
        <w:pStyle w:val="169"/>
        <w:adjustRightInd w:val="0"/>
        <w:snapToGrid w:val="0"/>
        <w:spacing w:line="360" w:lineRule="auto"/>
      </w:pPr>
      <w:r>
        <w:rPr>
          <w:rFonts w:hint="eastAsia"/>
        </w:rPr>
        <w:t>应急处置应遵循“保人身、保电网、保设备”的原则，快速、准确采取措施，必要时果断降负荷直至停机，避免事故扩大。</w:t>
      </w:r>
    </w:p>
    <w:bookmarkEnd w:id="15"/>
    <w:p w14:paraId="6DF058EB">
      <w:pPr>
        <w:pStyle w:val="60"/>
      </w:pPr>
    </w:p>
    <w:sectPr>
      <w:footerReference r:id="rId8" w:type="default"/>
      <w:pgSz w:w="11906" w:h="16838"/>
      <w:pgMar w:top="1928" w:right="1134" w:bottom="1134" w:left="1134" w:header="1418" w:footer="1134" w:gutter="284"/>
      <w:pgNumType w:start="1"/>
      <w:cols w:space="425" w:num="1"/>
      <w:formProt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CD16EC">
    <w:pPr>
      <w:pStyle w:val="56"/>
    </w:pPr>
    <w: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10DE7A3">
                          <w:pPr>
                            <w:pStyle w:val="56"/>
                          </w:pPr>
                          <w:r>
                            <w:fldChar w:fldCharType="begin"/>
                          </w:r>
                          <w:r>
                            <w:instrText xml:space="preserve">PAGE   \* MERGEFORMAT</w:instrText>
                          </w:r>
                          <w:r>
                            <w:fldChar w:fldCharType="separate"/>
                          </w:r>
                          <w:r>
                            <w:rPr>
                              <w:lang w:val="zh-CN"/>
                            </w:rP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210DE7A3">
                    <w:pPr>
                      <w:pStyle w:val="56"/>
                    </w:pPr>
                    <w:r>
                      <w:fldChar w:fldCharType="begin"/>
                    </w:r>
                    <w:r>
                      <w:instrText xml:space="preserve">PAGE   \* MERGEFORMAT</w:instrText>
                    </w:r>
                    <w:r>
                      <w:fldChar w:fldCharType="separate"/>
                    </w:r>
                    <w:r>
                      <w:rPr>
                        <w:lang w:val="zh-CN"/>
                      </w:rP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E67F8A">
    <w:pPr>
      <w:pStyle w:val="18"/>
    </w:pPr>
    <w: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15E0100">
                          <w:pPr>
                            <w:pStyle w:val="18"/>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14:paraId="515E0100">
                    <w:pPr>
                      <w:pStyle w:val="18"/>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091CCB">
    <w:pPr>
      <w:pStyle w:val="56"/>
    </w:pPr>
    <w:r>
      <mc:AlternateContent>
        <mc:Choice Requires="wps">
          <w:drawing>
            <wp:anchor distT="0" distB="0" distL="114300" distR="114300" simplePos="0" relativeHeight="251662336" behindDoc="0" locked="0" layoutInCell="1" allowOverlap="1">
              <wp:simplePos x="0" y="0"/>
              <wp:positionH relativeFrom="margin">
                <wp:align>right</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C81634C">
                          <w:pPr>
                            <w:pStyle w:val="18"/>
                          </w:pPr>
                          <w:r>
                            <w:fldChar w:fldCharType="begin"/>
                          </w:r>
                          <w:r>
                            <w:instrText xml:space="preserve"> PAGE  \* MERGEFORMAT </w:instrText>
                          </w:r>
                          <w:r>
                            <w:fldChar w:fldCharType="separate"/>
                          </w:r>
                          <w:r>
                            <w:t>III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66C/ssAgAAV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nroL+ywCAABVBAAADgAAAAAAAAABACAAAAAfAQAAZHJzL2Uyb0RvYy54bWxQSwUGAAAAAAYA&#10;BgBZAQAAvQUAAAAA&#10;">
              <v:fill on="f" focussize="0,0"/>
              <v:stroke on="f" weight="0.5pt"/>
              <v:imagedata o:title=""/>
              <o:lock v:ext="edit" aspectratio="f"/>
              <v:textbox inset="0mm,0mm,0mm,0mm" style="mso-fit-shape-to-text:t;">
                <w:txbxContent>
                  <w:p w14:paraId="5C81634C">
                    <w:pPr>
                      <w:pStyle w:val="18"/>
                    </w:pPr>
                    <w:r>
                      <w:fldChar w:fldCharType="begin"/>
                    </w:r>
                    <w:r>
                      <w:instrText xml:space="preserve"> PAGE  \* MERGEFORMAT </w:instrText>
                    </w:r>
                    <w:r>
                      <w:fldChar w:fldCharType="separate"/>
                    </w:r>
                    <w:r>
                      <w:t>III</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940110">
    <w:pPr>
      <w:pStyle w:val="65"/>
    </w:pPr>
    <w:r>
      <w:fldChar w:fldCharType="begin"/>
    </w:r>
    <w:r>
      <w:instrText xml:space="preserve"> STYLEREF  标准文件_文件编号  \* MERGEFORMAT </w:instrText>
    </w:r>
    <w:r>
      <w:fldChar w:fldCharType="separate"/>
    </w:r>
    <w:r>
      <w:t>T/CEPCA XXXX—2025</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8362CD">
    <w:pPr>
      <w:pStyle w:val="19"/>
      <w:jc w:val="right"/>
    </w:pPr>
    <w:r>
      <w:fldChar w:fldCharType="begin"/>
    </w:r>
    <w:r>
      <w:instrText xml:space="preserve"> STYLEREF  标准文件_文件编号  \* MERGEFORMAT </w:instrText>
    </w:r>
    <w:r>
      <w:fldChar w:fldCharType="separate"/>
    </w:r>
    <w:r>
      <w:t>T/CEPCA XXXX—2025</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06DF01">
    <w:pPr>
      <w:pStyle w:val="65"/>
    </w:pPr>
    <w:r>
      <w:rPr>
        <w:rFonts w:hint="eastAsia" w:hAnsi="黑体" w:cs="黑体"/>
      </w:rPr>
      <w:fldChar w:fldCharType="begin"/>
    </w:r>
    <w:r>
      <w:rPr>
        <w:rFonts w:hint="eastAsia" w:hAnsi="黑体" w:cs="黑体"/>
      </w:rPr>
      <w:instrText xml:space="preserve"> STYLEREF  标准文件_文件编号  \* MERGEFORMAT </w:instrText>
    </w:r>
    <w:r>
      <w:rPr>
        <w:rFonts w:hint="eastAsia" w:hAnsi="黑体" w:cs="黑体"/>
      </w:rPr>
      <w:fldChar w:fldCharType="separate"/>
    </w:r>
    <w:r>
      <w:rPr>
        <w:rFonts w:hint="eastAsia" w:hAnsi="黑体" w:cs="黑体"/>
      </w:rPr>
      <w:t>T/CEPCA XXXX—2025</w:t>
    </w:r>
    <w:r>
      <w:rPr>
        <w:rFonts w:hint="eastAsia" w:hAnsi="黑体" w:cs="黑体"/>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8"/>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3"/>
      <w:suff w:val="nothing"/>
      <w:lvlText w:val="%1%2.%3　"/>
      <w:lvlJc w:val="left"/>
      <w:pPr>
        <w:ind w:left="0" w:firstLine="0"/>
      </w:pPr>
    </w:lvl>
    <w:lvl w:ilvl="3" w:tentative="0">
      <w:start w:val="1"/>
      <w:numFmt w:val="decimal"/>
      <w:pStyle w:val="122"/>
      <w:suff w:val="nothing"/>
      <w:lvlText w:val="%1%2.%3.%4　"/>
      <w:lvlJc w:val="left"/>
      <w:pPr>
        <w:ind w:left="0" w:firstLine="0"/>
      </w:pPr>
    </w:lvl>
    <w:lvl w:ilvl="4" w:tentative="0">
      <w:start w:val="1"/>
      <w:numFmt w:val="decimal"/>
      <w:pStyle w:val="157"/>
      <w:suff w:val="nothing"/>
      <w:lvlText w:val="%1%2.%3.%4.%5　"/>
      <w:lvlJc w:val="left"/>
      <w:pPr>
        <w:ind w:left="0" w:firstLine="0"/>
      </w:pPr>
    </w:lvl>
    <w:lvl w:ilvl="5" w:tentative="0">
      <w:start w:val="1"/>
      <w:numFmt w:val="decimal"/>
      <w:pStyle w:val="159"/>
      <w:suff w:val="nothing"/>
      <w:lvlText w:val="%1%2.%3.%4.%5.%6　"/>
      <w:lvlJc w:val="left"/>
      <w:pPr>
        <w:ind w:left="0" w:firstLine="0"/>
      </w:pPr>
    </w:lvl>
    <w:lvl w:ilvl="6" w:tentative="0">
      <w:start w:val="1"/>
      <w:numFmt w:val="decimal"/>
      <w:pStyle w:val="162"/>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4"/>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3"/>
      <w:lvlText w:val="%1"/>
      <w:lvlJc w:val="left"/>
      <w:pPr>
        <w:ind w:left="425" w:hanging="425"/>
      </w:pPr>
      <w:rPr>
        <w:rFonts w:hint="eastAsia"/>
      </w:rPr>
    </w:lvl>
    <w:lvl w:ilvl="1" w:tentative="0">
      <w:start w:val="1"/>
      <w:numFmt w:val="decimal"/>
      <w:pStyle w:val="204"/>
      <w:suff w:val="nothing"/>
      <w:lvlText w:val="%10.%2 "/>
      <w:lvlJc w:val="left"/>
      <w:pPr>
        <w:ind w:left="0" w:firstLine="0"/>
      </w:pPr>
      <w:rPr>
        <w:rFonts w:hint="eastAsia" w:ascii="黑体" w:eastAsia="黑体" w:hAnsiTheme="minorHAnsi"/>
        <w:b w:val="0"/>
        <w:i w:val="0"/>
        <w:sz w:val="21"/>
      </w:rPr>
    </w:lvl>
    <w:lvl w:ilvl="2" w:tentative="0">
      <w:start w:val="1"/>
      <w:numFmt w:val="decimal"/>
      <w:pStyle w:val="205"/>
      <w:suff w:val="nothing"/>
      <w:lvlText w:val="%10.%2.%3 "/>
      <w:lvlJc w:val="left"/>
      <w:pPr>
        <w:ind w:left="0" w:firstLine="0"/>
      </w:pPr>
      <w:rPr>
        <w:rFonts w:hint="eastAsia" w:ascii="黑体" w:eastAsia="黑体" w:hAnsiTheme="minorHAnsi"/>
        <w:b w:val="0"/>
        <w:i w:val="0"/>
        <w:sz w:val="21"/>
      </w:rPr>
    </w:lvl>
    <w:lvl w:ilvl="3" w:tentative="0">
      <w:start w:val="1"/>
      <w:numFmt w:val="decimal"/>
      <w:pStyle w:val="206"/>
      <w:suff w:val="nothing"/>
      <w:lvlText w:val="%10.%2.%3.%4 "/>
      <w:lvlJc w:val="left"/>
      <w:pPr>
        <w:ind w:left="0" w:firstLine="0"/>
      </w:pPr>
      <w:rPr>
        <w:rFonts w:hint="eastAsia" w:ascii="黑体" w:eastAsia="黑体" w:hAnsiTheme="minorHAnsi"/>
        <w:b w:val="0"/>
        <w:i w:val="0"/>
        <w:sz w:val="21"/>
      </w:rPr>
    </w:lvl>
    <w:lvl w:ilvl="4" w:tentative="0">
      <w:start w:val="1"/>
      <w:numFmt w:val="decimal"/>
      <w:pStyle w:val="207"/>
      <w:suff w:val="nothing"/>
      <w:lvlText w:val="%10.%2.%3.%4.%5 "/>
      <w:lvlJc w:val="left"/>
      <w:pPr>
        <w:ind w:left="0" w:firstLine="0"/>
      </w:pPr>
      <w:rPr>
        <w:rFonts w:hint="eastAsia" w:ascii="黑体" w:eastAsia="黑体" w:hAnsiTheme="minorHAnsi"/>
        <w:b w:val="0"/>
        <w:i w:val="0"/>
        <w:sz w:val="21"/>
      </w:rPr>
    </w:lvl>
    <w:lvl w:ilvl="5" w:tentative="0">
      <w:start w:val="1"/>
      <w:numFmt w:val="decimal"/>
      <w:pStyle w:val="208"/>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5"/>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71"/>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3"/>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4"/>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9"/>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6"/>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6"/>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1"/>
      <w:lvlText w:val=""/>
      <w:lvlJc w:val="left"/>
      <w:pPr>
        <w:ind w:left="851" w:hanging="431"/>
      </w:pPr>
      <w:rPr>
        <w:rFonts w:hint="default" w:ascii="Symbol" w:hAnsi="Symbol"/>
        <w:sz w:val="21"/>
      </w:rPr>
    </w:lvl>
    <w:lvl w:ilvl="2" w:tentative="0">
      <w:start w:val="1"/>
      <w:numFmt w:val="bullet"/>
      <w:pStyle w:val="176"/>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5"/>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8"/>
      <w:lvlText w:val="%1)"/>
      <w:lvlJc w:val="left"/>
      <w:pPr>
        <w:tabs>
          <w:tab w:val="left" w:pos="851"/>
        </w:tabs>
        <w:ind w:left="851" w:hanging="426"/>
      </w:pPr>
      <w:rPr>
        <w:rFonts w:hint="eastAsia" w:ascii="宋体" w:hAnsi="Times New Roman" w:eastAsia="宋体"/>
        <w:sz w:val="21"/>
      </w:rPr>
    </w:lvl>
    <w:lvl w:ilvl="1" w:tentative="0">
      <w:start w:val="1"/>
      <w:numFmt w:val="decimal"/>
      <w:pStyle w:val="113"/>
      <w:lvlText w:val="%2)"/>
      <w:lvlJc w:val="left"/>
      <w:pPr>
        <w:tabs>
          <w:tab w:val="left" w:pos="1276"/>
        </w:tabs>
        <w:ind w:left="1276" w:hanging="425"/>
      </w:pPr>
      <w:rPr>
        <w:rFonts w:hint="eastAsia" w:ascii="宋体" w:hAnsi="Times New Roman" w:eastAsia="宋体"/>
        <w:sz w:val="21"/>
      </w:rPr>
    </w:lvl>
    <w:lvl w:ilvl="2" w:tentative="0">
      <w:start w:val="1"/>
      <w:numFmt w:val="decimal"/>
      <w:pStyle w:val="121"/>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202"/>
      <w:lvlText w:val="%1"/>
      <w:lvlJc w:val="left"/>
      <w:pPr>
        <w:ind w:left="420" w:hanging="420"/>
      </w:pPr>
      <w:rPr>
        <w:rFonts w:hint="eastAsia"/>
      </w:rPr>
    </w:lvl>
    <w:lvl w:ilvl="1" w:tentative="0">
      <w:start w:val="1"/>
      <w:numFmt w:val="decimal"/>
      <w:pStyle w:val="87"/>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7"/>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20"/>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7"/>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8"/>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3"/>
      <w:suff w:val="space"/>
      <w:lvlText w:val="%1"/>
      <w:lvlJc w:val="left"/>
      <w:pPr>
        <w:ind w:left="425" w:hanging="425"/>
      </w:pPr>
      <w:rPr>
        <w:rFonts w:hint="eastAsia"/>
      </w:rPr>
    </w:lvl>
    <w:lvl w:ilvl="1" w:tentative="0">
      <w:start w:val="1"/>
      <w:numFmt w:val="decimal"/>
      <w:pStyle w:val="81"/>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5"/>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72"/>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6"/>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3"/>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80"/>
      <w:suff w:val="nothing"/>
      <w:lvlText w:val="附录%1"/>
      <w:lvlJc w:val="left"/>
      <w:pPr>
        <w:ind w:left="0" w:firstLine="0"/>
      </w:pPr>
      <w:rPr>
        <w:rFonts w:hint="eastAsia"/>
        <w:spacing w:val="100"/>
      </w:rPr>
    </w:lvl>
    <w:lvl w:ilvl="1" w:tentative="0">
      <w:start w:val="1"/>
      <w:numFmt w:val="decimal"/>
      <w:pStyle w:val="82"/>
      <w:suff w:val="nothing"/>
      <w:lvlText w:val="%1.%2　"/>
      <w:lvlJc w:val="left"/>
      <w:pPr>
        <w:ind w:left="0" w:firstLine="0"/>
      </w:pPr>
      <w:rPr>
        <w:rFonts w:hint="eastAsia" w:ascii="黑体" w:eastAsia="黑体"/>
        <w:b w:val="0"/>
        <w:i w:val="0"/>
        <w:sz w:val="21"/>
      </w:rPr>
    </w:lvl>
    <w:lvl w:ilvl="2" w:tentative="0">
      <w:start w:val="1"/>
      <w:numFmt w:val="decimal"/>
      <w:pStyle w:val="83"/>
      <w:suff w:val="nothing"/>
      <w:lvlText w:val="%1.%2.%3　"/>
      <w:lvlJc w:val="left"/>
      <w:pPr>
        <w:ind w:left="0" w:firstLine="0"/>
      </w:pPr>
      <w:rPr>
        <w:rFonts w:hint="eastAsia" w:ascii="黑体" w:eastAsia="黑体"/>
        <w:b w:val="0"/>
        <w:i w:val="0"/>
        <w:sz w:val="21"/>
      </w:rPr>
    </w:lvl>
    <w:lvl w:ilvl="3" w:tentative="0">
      <w:start w:val="1"/>
      <w:numFmt w:val="decimal"/>
      <w:pStyle w:val="85"/>
      <w:suff w:val="nothing"/>
      <w:lvlText w:val="%1.%2.%3.%4　"/>
      <w:lvlJc w:val="left"/>
      <w:pPr>
        <w:ind w:left="0" w:firstLine="0"/>
      </w:pPr>
      <w:rPr>
        <w:rFonts w:hint="eastAsia" w:ascii="黑体" w:eastAsia="黑体"/>
        <w:b w:val="0"/>
        <w:i w:val="0"/>
        <w:sz w:val="21"/>
      </w:rPr>
    </w:lvl>
    <w:lvl w:ilvl="4" w:tentative="0">
      <w:start w:val="1"/>
      <w:numFmt w:val="decimal"/>
      <w:pStyle w:val="86"/>
      <w:suff w:val="nothing"/>
      <w:lvlText w:val="%1.%2.%3.%4.%5　"/>
      <w:lvlJc w:val="left"/>
      <w:pPr>
        <w:ind w:left="0" w:firstLine="0"/>
      </w:pPr>
      <w:rPr>
        <w:rFonts w:hint="eastAsia" w:ascii="黑体" w:eastAsia="黑体"/>
        <w:b w:val="0"/>
        <w:i w:val="0"/>
        <w:sz w:val="21"/>
      </w:rPr>
    </w:lvl>
    <w:lvl w:ilvl="5" w:tentative="0">
      <w:start w:val="1"/>
      <w:numFmt w:val="decimal"/>
      <w:pStyle w:val="88"/>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92"/>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101"/>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7"/>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6"/>
      <w:suff w:val="nothing"/>
      <w:lvlText w:val="%1"/>
      <w:lvlJc w:val="left"/>
      <w:pPr>
        <w:ind w:left="0" w:firstLine="0"/>
      </w:pPr>
      <w:rPr>
        <w:rFonts w:hint="eastAsia"/>
      </w:rPr>
    </w:lvl>
    <w:lvl w:ilvl="1" w:tentative="0">
      <w:start w:val="1"/>
      <w:numFmt w:val="decimal"/>
      <w:pStyle w:val="108"/>
      <w:suff w:val="nothing"/>
      <w:lvlText w:val="%1%2　"/>
      <w:lvlJc w:val="left"/>
      <w:pPr>
        <w:ind w:left="0" w:firstLine="0"/>
      </w:pPr>
      <w:rPr>
        <w:rFonts w:hint="eastAsia" w:ascii="黑体" w:eastAsia="黑体"/>
        <w:b w:val="0"/>
        <w:i w:val="0"/>
        <w:sz w:val="21"/>
      </w:rPr>
    </w:lvl>
    <w:lvl w:ilvl="2" w:tentative="0">
      <w:start w:val="1"/>
      <w:numFmt w:val="decimal"/>
      <w:pStyle w:val="109"/>
      <w:suff w:val="nothing"/>
      <w:lvlText w:val="%1%2.%3　"/>
      <w:lvlJc w:val="left"/>
      <w:pPr>
        <w:ind w:left="992" w:firstLine="0"/>
      </w:pPr>
      <w:rPr>
        <w:rFonts w:hint="default" w:ascii="黑体" w:hAnsi="Times New Roman" w:eastAsia="黑体" w:cs="Times New Roman"/>
        <w:b w:val="0"/>
        <w:bCs w:val="0"/>
        <w:i w:val="0"/>
        <w:iCs w:val="0"/>
        <w:caps w:val="0"/>
        <w:smallCaps w:val="0"/>
        <w:strike w:val="0"/>
        <w:dstrike w:val="0"/>
        <w:vanish w:val="0"/>
        <w:color w:val="000000" w:themeColor="text1"/>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Fill>
          <w14:solidFill>
            <w14:schemeClr w14:val="tx1"/>
          </w14:solidFill>
        </w14:textFill>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69"/>
      <w:suff w:val="nothing"/>
      <w:lvlText w:val="%1%2.%3.%4　"/>
      <w:lvlJc w:val="left"/>
      <w:pPr>
        <w:ind w:left="426" w:firstLine="0"/>
      </w:pPr>
      <w:rPr>
        <w:rFonts w:hint="eastAsia" w:ascii="黑体" w:eastAsia="黑体"/>
        <w:b w:val="0"/>
        <w:i w:val="0"/>
        <w:sz w:val="21"/>
      </w:rPr>
    </w:lvl>
    <w:lvl w:ilvl="4" w:tentative="0">
      <w:start w:val="1"/>
      <w:numFmt w:val="decimal"/>
      <w:pStyle w:val="98"/>
      <w:suff w:val="nothing"/>
      <w:lvlText w:val="%1%2.%3.%4.%5　"/>
      <w:lvlJc w:val="left"/>
      <w:pPr>
        <w:ind w:left="0" w:firstLine="0"/>
      </w:pPr>
      <w:rPr>
        <w:rFonts w:hint="eastAsia" w:ascii="黑体" w:eastAsia="黑体"/>
        <w:b w:val="0"/>
        <w:i w:val="0"/>
        <w:sz w:val="21"/>
      </w:rPr>
    </w:lvl>
    <w:lvl w:ilvl="5" w:tentative="0">
      <w:start w:val="1"/>
      <w:numFmt w:val="decimal"/>
      <w:pStyle w:val="102"/>
      <w:suff w:val="nothing"/>
      <w:lvlText w:val="%1%2.%3.%4.%5.%6　"/>
      <w:lvlJc w:val="left"/>
      <w:pPr>
        <w:ind w:left="0" w:firstLine="0"/>
      </w:pPr>
      <w:rPr>
        <w:rFonts w:hint="eastAsia" w:ascii="黑体" w:eastAsia="黑体"/>
        <w:b w:val="0"/>
        <w:i w:val="0"/>
        <w:sz w:val="21"/>
      </w:rPr>
    </w:lvl>
    <w:lvl w:ilvl="6" w:tentative="0">
      <w:start w:val="1"/>
      <w:numFmt w:val="decimal"/>
      <w:pStyle w:val="107"/>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3"/>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9"/>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3"/>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ZkYzkyMDM4MmYzMjM0ODY0NWY5NDVmYWU2OTcyZjcifQ=="/>
  </w:docVars>
  <w:rsids>
    <w:rsidRoot w:val="009E50CF"/>
    <w:rsid w:val="0000040A"/>
    <w:rsid w:val="00000A94"/>
    <w:rsid w:val="00001972"/>
    <w:rsid w:val="00001D9A"/>
    <w:rsid w:val="00007B3A"/>
    <w:rsid w:val="000107E0"/>
    <w:rsid w:val="00011521"/>
    <w:rsid w:val="00011FDE"/>
    <w:rsid w:val="00012FFD"/>
    <w:rsid w:val="00013435"/>
    <w:rsid w:val="00014162"/>
    <w:rsid w:val="00014340"/>
    <w:rsid w:val="00016A9C"/>
    <w:rsid w:val="00017FEF"/>
    <w:rsid w:val="00022184"/>
    <w:rsid w:val="00022762"/>
    <w:rsid w:val="000238E0"/>
    <w:rsid w:val="00023BBC"/>
    <w:rsid w:val="000249DB"/>
    <w:rsid w:val="0002595E"/>
    <w:rsid w:val="000274FE"/>
    <w:rsid w:val="000303C3"/>
    <w:rsid w:val="000331D3"/>
    <w:rsid w:val="000346A5"/>
    <w:rsid w:val="000357C4"/>
    <w:rsid w:val="000359C3"/>
    <w:rsid w:val="00035A7D"/>
    <w:rsid w:val="000365ED"/>
    <w:rsid w:val="0004249A"/>
    <w:rsid w:val="00042739"/>
    <w:rsid w:val="00043282"/>
    <w:rsid w:val="00044286"/>
    <w:rsid w:val="00047F28"/>
    <w:rsid w:val="000503AA"/>
    <w:rsid w:val="000506A1"/>
    <w:rsid w:val="0005123C"/>
    <w:rsid w:val="000515DD"/>
    <w:rsid w:val="0005265A"/>
    <w:rsid w:val="000539DD"/>
    <w:rsid w:val="00053BD3"/>
    <w:rsid w:val="000540D3"/>
    <w:rsid w:val="0005435D"/>
    <w:rsid w:val="000556ED"/>
    <w:rsid w:val="00055C6F"/>
    <w:rsid w:val="00055FE2"/>
    <w:rsid w:val="0005616F"/>
    <w:rsid w:val="00060AC5"/>
    <w:rsid w:val="00060C2E"/>
    <w:rsid w:val="00061033"/>
    <w:rsid w:val="000619E9"/>
    <w:rsid w:val="000622D4"/>
    <w:rsid w:val="0006357D"/>
    <w:rsid w:val="00067F1E"/>
    <w:rsid w:val="00071CC0"/>
    <w:rsid w:val="00071CFC"/>
    <w:rsid w:val="00073C8C"/>
    <w:rsid w:val="00077B64"/>
    <w:rsid w:val="00080632"/>
    <w:rsid w:val="00080A1C"/>
    <w:rsid w:val="00082317"/>
    <w:rsid w:val="00083D2C"/>
    <w:rsid w:val="00086AA1"/>
    <w:rsid w:val="00087A77"/>
    <w:rsid w:val="00090CA6"/>
    <w:rsid w:val="00092B8A"/>
    <w:rsid w:val="00092FB0"/>
    <w:rsid w:val="000934C5"/>
    <w:rsid w:val="00093D25"/>
    <w:rsid w:val="00093DAB"/>
    <w:rsid w:val="0009483E"/>
    <w:rsid w:val="00094D73"/>
    <w:rsid w:val="00096D63"/>
    <w:rsid w:val="000A0B60"/>
    <w:rsid w:val="000A0EB8"/>
    <w:rsid w:val="000A19FC"/>
    <w:rsid w:val="000A296B"/>
    <w:rsid w:val="000A45F6"/>
    <w:rsid w:val="000A5523"/>
    <w:rsid w:val="000A7311"/>
    <w:rsid w:val="000B060F"/>
    <w:rsid w:val="000B1592"/>
    <w:rsid w:val="000B1FF2"/>
    <w:rsid w:val="000B270C"/>
    <w:rsid w:val="000B3CDA"/>
    <w:rsid w:val="000B6A0B"/>
    <w:rsid w:val="000C0F6C"/>
    <w:rsid w:val="000C11DB"/>
    <w:rsid w:val="000C1492"/>
    <w:rsid w:val="000C195D"/>
    <w:rsid w:val="000C2FBD"/>
    <w:rsid w:val="000C4B41"/>
    <w:rsid w:val="000C57D6"/>
    <w:rsid w:val="000C6362"/>
    <w:rsid w:val="000C7666"/>
    <w:rsid w:val="000D0A9C"/>
    <w:rsid w:val="000D1795"/>
    <w:rsid w:val="000D329A"/>
    <w:rsid w:val="000D4B9C"/>
    <w:rsid w:val="000D4EB6"/>
    <w:rsid w:val="000D753B"/>
    <w:rsid w:val="000E053C"/>
    <w:rsid w:val="000E4C9E"/>
    <w:rsid w:val="000E6FD7"/>
    <w:rsid w:val="000E7144"/>
    <w:rsid w:val="000F06E1"/>
    <w:rsid w:val="000F0E3C"/>
    <w:rsid w:val="000F19D5"/>
    <w:rsid w:val="000F4050"/>
    <w:rsid w:val="000F4AEA"/>
    <w:rsid w:val="000F57DD"/>
    <w:rsid w:val="000F67E9"/>
    <w:rsid w:val="00102B18"/>
    <w:rsid w:val="001037B1"/>
    <w:rsid w:val="00104926"/>
    <w:rsid w:val="00110B2B"/>
    <w:rsid w:val="00113B1E"/>
    <w:rsid w:val="0011711C"/>
    <w:rsid w:val="00117A62"/>
    <w:rsid w:val="00124E4F"/>
    <w:rsid w:val="001260B7"/>
    <w:rsid w:val="001265CB"/>
    <w:rsid w:val="001273FE"/>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5654"/>
    <w:rsid w:val="0015631E"/>
    <w:rsid w:val="00156B25"/>
    <w:rsid w:val="00156E1A"/>
    <w:rsid w:val="00157894"/>
    <w:rsid w:val="00157B55"/>
    <w:rsid w:val="001642FA"/>
    <w:rsid w:val="001649EB"/>
    <w:rsid w:val="00164BAF"/>
    <w:rsid w:val="00164C13"/>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AEF"/>
    <w:rsid w:val="00195C34"/>
    <w:rsid w:val="00196EF5"/>
    <w:rsid w:val="001A1A53"/>
    <w:rsid w:val="001A234A"/>
    <w:rsid w:val="001A4CF3"/>
    <w:rsid w:val="001A6696"/>
    <w:rsid w:val="001B06E8"/>
    <w:rsid w:val="001B0FC5"/>
    <w:rsid w:val="001B71D0"/>
    <w:rsid w:val="001B71EE"/>
    <w:rsid w:val="001C04A8"/>
    <w:rsid w:val="001C2C03"/>
    <w:rsid w:val="001C3D69"/>
    <w:rsid w:val="001C42F7"/>
    <w:rsid w:val="001C49E5"/>
    <w:rsid w:val="001C680C"/>
    <w:rsid w:val="001C7FEA"/>
    <w:rsid w:val="001D0499"/>
    <w:rsid w:val="001D0BBE"/>
    <w:rsid w:val="001D0ED4"/>
    <w:rsid w:val="001D212F"/>
    <w:rsid w:val="001D29D7"/>
    <w:rsid w:val="001D2DE7"/>
    <w:rsid w:val="001D411C"/>
    <w:rsid w:val="001D5E51"/>
    <w:rsid w:val="001E1B6A"/>
    <w:rsid w:val="001E2484"/>
    <w:rsid w:val="001E33B8"/>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2EE3"/>
    <w:rsid w:val="002253A1"/>
    <w:rsid w:val="00225CF8"/>
    <w:rsid w:val="0022794E"/>
    <w:rsid w:val="00233D64"/>
    <w:rsid w:val="0023482A"/>
    <w:rsid w:val="002359CB"/>
    <w:rsid w:val="00237F91"/>
    <w:rsid w:val="00243540"/>
    <w:rsid w:val="0024497B"/>
    <w:rsid w:val="0024515B"/>
    <w:rsid w:val="00246021"/>
    <w:rsid w:val="0024666E"/>
    <w:rsid w:val="00247F52"/>
    <w:rsid w:val="00250B25"/>
    <w:rsid w:val="00250BBE"/>
    <w:rsid w:val="002515C2"/>
    <w:rsid w:val="002516A9"/>
    <w:rsid w:val="0025194F"/>
    <w:rsid w:val="00256D88"/>
    <w:rsid w:val="0026148A"/>
    <w:rsid w:val="00262696"/>
    <w:rsid w:val="00263D25"/>
    <w:rsid w:val="002643C3"/>
    <w:rsid w:val="00264A0C"/>
    <w:rsid w:val="00266AB4"/>
    <w:rsid w:val="00266EEB"/>
    <w:rsid w:val="00267EF4"/>
    <w:rsid w:val="00270CB8"/>
    <w:rsid w:val="00272B08"/>
    <w:rsid w:val="00281BB8"/>
    <w:rsid w:val="00281E9E"/>
    <w:rsid w:val="00282405"/>
    <w:rsid w:val="00283A47"/>
    <w:rsid w:val="00285170"/>
    <w:rsid w:val="00285361"/>
    <w:rsid w:val="00287CF3"/>
    <w:rsid w:val="00291D5D"/>
    <w:rsid w:val="00292D60"/>
    <w:rsid w:val="00293B30"/>
    <w:rsid w:val="00294D34"/>
    <w:rsid w:val="00294E3B"/>
    <w:rsid w:val="00296193"/>
    <w:rsid w:val="00296C66"/>
    <w:rsid w:val="00296EBE"/>
    <w:rsid w:val="002974E3"/>
    <w:rsid w:val="002A084B"/>
    <w:rsid w:val="002A1260"/>
    <w:rsid w:val="002A1329"/>
    <w:rsid w:val="002A1589"/>
    <w:rsid w:val="002A1608"/>
    <w:rsid w:val="002A25DC"/>
    <w:rsid w:val="002A3AAB"/>
    <w:rsid w:val="002A4CEA"/>
    <w:rsid w:val="002A5977"/>
    <w:rsid w:val="002A5A13"/>
    <w:rsid w:val="002A757F"/>
    <w:rsid w:val="002A7F44"/>
    <w:rsid w:val="002B0C40"/>
    <w:rsid w:val="002B1966"/>
    <w:rsid w:val="002B3D59"/>
    <w:rsid w:val="002B4508"/>
    <w:rsid w:val="002B5779"/>
    <w:rsid w:val="002B62BA"/>
    <w:rsid w:val="002B7332"/>
    <w:rsid w:val="002B7F51"/>
    <w:rsid w:val="002C09E7"/>
    <w:rsid w:val="002C1E06"/>
    <w:rsid w:val="002C34F8"/>
    <w:rsid w:val="002C3F07"/>
    <w:rsid w:val="002C5278"/>
    <w:rsid w:val="002C7EBB"/>
    <w:rsid w:val="002D06C1"/>
    <w:rsid w:val="002D42B5"/>
    <w:rsid w:val="002D4F1A"/>
    <w:rsid w:val="002D6EC6"/>
    <w:rsid w:val="002D79AC"/>
    <w:rsid w:val="002E039D"/>
    <w:rsid w:val="002E081F"/>
    <w:rsid w:val="002E31DF"/>
    <w:rsid w:val="002E4D5A"/>
    <w:rsid w:val="002E504F"/>
    <w:rsid w:val="002E6326"/>
    <w:rsid w:val="002F19A9"/>
    <w:rsid w:val="002F30E0"/>
    <w:rsid w:val="002F35E4"/>
    <w:rsid w:val="002F3730"/>
    <w:rsid w:val="002F38E1"/>
    <w:rsid w:val="002F5F96"/>
    <w:rsid w:val="002F7AF6"/>
    <w:rsid w:val="00300E63"/>
    <w:rsid w:val="00302F5F"/>
    <w:rsid w:val="0030441D"/>
    <w:rsid w:val="00306063"/>
    <w:rsid w:val="00310943"/>
    <w:rsid w:val="00313B85"/>
    <w:rsid w:val="0031760F"/>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566E0"/>
    <w:rsid w:val="0036107C"/>
    <w:rsid w:val="003615D2"/>
    <w:rsid w:val="0036429C"/>
    <w:rsid w:val="00364A53"/>
    <w:rsid w:val="003654CB"/>
    <w:rsid w:val="00365AA9"/>
    <w:rsid w:val="00365F86"/>
    <w:rsid w:val="00365F87"/>
    <w:rsid w:val="00366E89"/>
    <w:rsid w:val="00367494"/>
    <w:rsid w:val="003702CC"/>
    <w:rsid w:val="003705F4"/>
    <w:rsid w:val="00370D58"/>
    <w:rsid w:val="00371316"/>
    <w:rsid w:val="00376713"/>
    <w:rsid w:val="00380C4A"/>
    <w:rsid w:val="00381815"/>
    <w:rsid w:val="003819AF"/>
    <w:rsid w:val="003820E9"/>
    <w:rsid w:val="00382DE7"/>
    <w:rsid w:val="00384FFC"/>
    <w:rsid w:val="003872FC"/>
    <w:rsid w:val="00387ADC"/>
    <w:rsid w:val="00390020"/>
    <w:rsid w:val="00390296"/>
    <w:rsid w:val="003903D6"/>
    <w:rsid w:val="00390EE6"/>
    <w:rsid w:val="0039118F"/>
    <w:rsid w:val="003923B1"/>
    <w:rsid w:val="00392AD7"/>
    <w:rsid w:val="003938D9"/>
    <w:rsid w:val="00394376"/>
    <w:rsid w:val="003943FF"/>
    <w:rsid w:val="003974EB"/>
    <w:rsid w:val="00397CC5"/>
    <w:rsid w:val="003A11D1"/>
    <w:rsid w:val="003A1582"/>
    <w:rsid w:val="003A3189"/>
    <w:rsid w:val="003A3D9C"/>
    <w:rsid w:val="003A4077"/>
    <w:rsid w:val="003A4AA7"/>
    <w:rsid w:val="003B09AD"/>
    <w:rsid w:val="003B0F4D"/>
    <w:rsid w:val="003B1F18"/>
    <w:rsid w:val="003B5BF0"/>
    <w:rsid w:val="003B60BF"/>
    <w:rsid w:val="003B6BE3"/>
    <w:rsid w:val="003B7A59"/>
    <w:rsid w:val="003C010C"/>
    <w:rsid w:val="003C0A6C"/>
    <w:rsid w:val="003C1237"/>
    <w:rsid w:val="003C14F8"/>
    <w:rsid w:val="003C570C"/>
    <w:rsid w:val="003C5A43"/>
    <w:rsid w:val="003D0519"/>
    <w:rsid w:val="003D0FF6"/>
    <w:rsid w:val="003D262C"/>
    <w:rsid w:val="003D6D61"/>
    <w:rsid w:val="003E019F"/>
    <w:rsid w:val="003E091D"/>
    <w:rsid w:val="003E1C53"/>
    <w:rsid w:val="003E2A69"/>
    <w:rsid w:val="003E2D49"/>
    <w:rsid w:val="003E2FD4"/>
    <w:rsid w:val="003E3E78"/>
    <w:rsid w:val="003E49F6"/>
    <w:rsid w:val="003E4B04"/>
    <w:rsid w:val="003E660F"/>
    <w:rsid w:val="003F0841"/>
    <w:rsid w:val="003F23D3"/>
    <w:rsid w:val="003F3F08"/>
    <w:rsid w:val="003F4948"/>
    <w:rsid w:val="003F49F1"/>
    <w:rsid w:val="003F6272"/>
    <w:rsid w:val="003F7F32"/>
    <w:rsid w:val="00400E72"/>
    <w:rsid w:val="00401400"/>
    <w:rsid w:val="00404869"/>
    <w:rsid w:val="00405884"/>
    <w:rsid w:val="00406287"/>
    <w:rsid w:val="00407D39"/>
    <w:rsid w:val="00410ADA"/>
    <w:rsid w:val="004136DE"/>
    <w:rsid w:val="0041477A"/>
    <w:rsid w:val="00414F6F"/>
    <w:rsid w:val="004167A3"/>
    <w:rsid w:val="004219DA"/>
    <w:rsid w:val="00432880"/>
    <w:rsid w:val="00432DAA"/>
    <w:rsid w:val="00434305"/>
    <w:rsid w:val="00435DF7"/>
    <w:rsid w:val="0043741A"/>
    <w:rsid w:val="0044083F"/>
    <w:rsid w:val="00441AE7"/>
    <w:rsid w:val="00445574"/>
    <w:rsid w:val="004467FB"/>
    <w:rsid w:val="00452D6B"/>
    <w:rsid w:val="00454484"/>
    <w:rsid w:val="0045517B"/>
    <w:rsid w:val="00460A54"/>
    <w:rsid w:val="00463B77"/>
    <w:rsid w:val="00463C7B"/>
    <w:rsid w:val="004644A6"/>
    <w:rsid w:val="00465799"/>
    <w:rsid w:val="004659BD"/>
    <w:rsid w:val="00470775"/>
    <w:rsid w:val="00472D94"/>
    <w:rsid w:val="004746B1"/>
    <w:rsid w:val="0047583F"/>
    <w:rsid w:val="00475DE8"/>
    <w:rsid w:val="00481C44"/>
    <w:rsid w:val="00484936"/>
    <w:rsid w:val="00485219"/>
    <w:rsid w:val="00485C89"/>
    <w:rsid w:val="00486BE3"/>
    <w:rsid w:val="004905E4"/>
    <w:rsid w:val="00490A89"/>
    <w:rsid w:val="00490AB4"/>
    <w:rsid w:val="00492F02"/>
    <w:rsid w:val="004937B7"/>
    <w:rsid w:val="004939AE"/>
    <w:rsid w:val="004A12DF"/>
    <w:rsid w:val="004A1BA8"/>
    <w:rsid w:val="004A4B57"/>
    <w:rsid w:val="004A63FA"/>
    <w:rsid w:val="004A6A3D"/>
    <w:rsid w:val="004B0272"/>
    <w:rsid w:val="004B1D8E"/>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05F4"/>
    <w:rsid w:val="004F0D9E"/>
    <w:rsid w:val="004F391A"/>
    <w:rsid w:val="004F3CFB"/>
    <w:rsid w:val="004F6456"/>
    <w:rsid w:val="004F696E"/>
    <w:rsid w:val="004F6C71"/>
    <w:rsid w:val="004F7E50"/>
    <w:rsid w:val="00501139"/>
    <w:rsid w:val="0050363E"/>
    <w:rsid w:val="005039BC"/>
    <w:rsid w:val="005043BB"/>
    <w:rsid w:val="00504A3D"/>
    <w:rsid w:val="00505767"/>
    <w:rsid w:val="005073F0"/>
    <w:rsid w:val="00510A7B"/>
    <w:rsid w:val="00512631"/>
    <w:rsid w:val="00512F6E"/>
    <w:rsid w:val="00513038"/>
    <w:rsid w:val="00514174"/>
    <w:rsid w:val="00516088"/>
    <w:rsid w:val="00516B0B"/>
    <w:rsid w:val="005220EC"/>
    <w:rsid w:val="00523F95"/>
    <w:rsid w:val="00524D65"/>
    <w:rsid w:val="00525B16"/>
    <w:rsid w:val="00532956"/>
    <w:rsid w:val="00533D04"/>
    <w:rsid w:val="00534804"/>
    <w:rsid w:val="00534BDF"/>
    <w:rsid w:val="005354EA"/>
    <w:rsid w:val="0053585F"/>
    <w:rsid w:val="00535EC4"/>
    <w:rsid w:val="00535ED9"/>
    <w:rsid w:val="0053692B"/>
    <w:rsid w:val="0053702F"/>
    <w:rsid w:val="00541853"/>
    <w:rsid w:val="00543819"/>
    <w:rsid w:val="00543BDA"/>
    <w:rsid w:val="005441CC"/>
    <w:rsid w:val="005479DA"/>
    <w:rsid w:val="00547BCC"/>
    <w:rsid w:val="0055013B"/>
    <w:rsid w:val="00551F6F"/>
    <w:rsid w:val="00555044"/>
    <w:rsid w:val="00560639"/>
    <w:rsid w:val="00561475"/>
    <w:rsid w:val="00562308"/>
    <w:rsid w:val="0056487B"/>
    <w:rsid w:val="00564FB9"/>
    <w:rsid w:val="00566676"/>
    <w:rsid w:val="00573D9E"/>
    <w:rsid w:val="00575179"/>
    <w:rsid w:val="005801E3"/>
    <w:rsid w:val="00581802"/>
    <w:rsid w:val="005836A8"/>
    <w:rsid w:val="0058409C"/>
    <w:rsid w:val="00584262"/>
    <w:rsid w:val="00585154"/>
    <w:rsid w:val="00586630"/>
    <w:rsid w:val="00587ADD"/>
    <w:rsid w:val="00593A49"/>
    <w:rsid w:val="00596160"/>
    <w:rsid w:val="005966E2"/>
    <w:rsid w:val="00597007"/>
    <w:rsid w:val="00597832"/>
    <w:rsid w:val="005A0966"/>
    <w:rsid w:val="005A11B7"/>
    <w:rsid w:val="005A260B"/>
    <w:rsid w:val="005A4A1B"/>
    <w:rsid w:val="005A4C86"/>
    <w:rsid w:val="005A7830"/>
    <w:rsid w:val="005A7FCE"/>
    <w:rsid w:val="005B0F3F"/>
    <w:rsid w:val="005B113F"/>
    <w:rsid w:val="005B191C"/>
    <w:rsid w:val="005B1F36"/>
    <w:rsid w:val="005B4903"/>
    <w:rsid w:val="005B51CE"/>
    <w:rsid w:val="005B5885"/>
    <w:rsid w:val="005B5CD7"/>
    <w:rsid w:val="005B6CF6"/>
    <w:rsid w:val="005B7422"/>
    <w:rsid w:val="005B7943"/>
    <w:rsid w:val="005C29B8"/>
    <w:rsid w:val="005C5F21"/>
    <w:rsid w:val="005C7156"/>
    <w:rsid w:val="005D0C75"/>
    <w:rsid w:val="005D4171"/>
    <w:rsid w:val="005D5881"/>
    <w:rsid w:val="005D6A95"/>
    <w:rsid w:val="005D6B2C"/>
    <w:rsid w:val="005D6D9C"/>
    <w:rsid w:val="005E207E"/>
    <w:rsid w:val="005E2335"/>
    <w:rsid w:val="005E34CA"/>
    <w:rsid w:val="005E3C18"/>
    <w:rsid w:val="005E4250"/>
    <w:rsid w:val="005E6812"/>
    <w:rsid w:val="005E7881"/>
    <w:rsid w:val="005E78E0"/>
    <w:rsid w:val="005F0D9C"/>
    <w:rsid w:val="005F1469"/>
    <w:rsid w:val="005F1EF7"/>
    <w:rsid w:val="005F284E"/>
    <w:rsid w:val="006015CE"/>
    <w:rsid w:val="00604784"/>
    <w:rsid w:val="00606419"/>
    <w:rsid w:val="00607D29"/>
    <w:rsid w:val="00612952"/>
    <w:rsid w:val="00614CC1"/>
    <w:rsid w:val="006155C2"/>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47005"/>
    <w:rsid w:val="00651ACB"/>
    <w:rsid w:val="00651C47"/>
    <w:rsid w:val="00652AB2"/>
    <w:rsid w:val="00653FED"/>
    <w:rsid w:val="00654EC0"/>
    <w:rsid w:val="0065525B"/>
    <w:rsid w:val="00655D4F"/>
    <w:rsid w:val="00656D29"/>
    <w:rsid w:val="0065740D"/>
    <w:rsid w:val="00657704"/>
    <w:rsid w:val="006640E5"/>
    <w:rsid w:val="006644A7"/>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8773F"/>
    <w:rsid w:val="00693962"/>
    <w:rsid w:val="00694702"/>
    <w:rsid w:val="006A07AA"/>
    <w:rsid w:val="006A13F7"/>
    <w:rsid w:val="006A1FF2"/>
    <w:rsid w:val="006A25E5"/>
    <w:rsid w:val="006A2B46"/>
    <w:rsid w:val="006A336D"/>
    <w:rsid w:val="006A37B9"/>
    <w:rsid w:val="006B2672"/>
    <w:rsid w:val="006B54BF"/>
    <w:rsid w:val="006B5F44"/>
    <w:rsid w:val="006B5F90"/>
    <w:rsid w:val="006B62E4"/>
    <w:rsid w:val="006C1BBA"/>
    <w:rsid w:val="006C2079"/>
    <w:rsid w:val="006C3078"/>
    <w:rsid w:val="006C5A62"/>
    <w:rsid w:val="006C5D68"/>
    <w:rsid w:val="006C6976"/>
    <w:rsid w:val="006C6DD0"/>
    <w:rsid w:val="006D04EA"/>
    <w:rsid w:val="006D16C4"/>
    <w:rsid w:val="006D3E96"/>
    <w:rsid w:val="006D4515"/>
    <w:rsid w:val="006D4803"/>
    <w:rsid w:val="006D4BB1"/>
    <w:rsid w:val="006D6593"/>
    <w:rsid w:val="006D7CB0"/>
    <w:rsid w:val="006E4DD6"/>
    <w:rsid w:val="006F03A8"/>
    <w:rsid w:val="006F2ACA"/>
    <w:rsid w:val="006F2ADC"/>
    <w:rsid w:val="006F2BFE"/>
    <w:rsid w:val="006F31E9"/>
    <w:rsid w:val="006F6284"/>
    <w:rsid w:val="007002C5"/>
    <w:rsid w:val="00704387"/>
    <w:rsid w:val="0070460A"/>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B76"/>
    <w:rsid w:val="00750D61"/>
    <w:rsid w:val="00750EE1"/>
    <w:rsid w:val="007521B4"/>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1BCA"/>
    <w:rsid w:val="007929C6"/>
    <w:rsid w:val="007959E8"/>
    <w:rsid w:val="00795E9C"/>
    <w:rsid w:val="00796BE4"/>
    <w:rsid w:val="007A0521"/>
    <w:rsid w:val="007A2E12"/>
    <w:rsid w:val="007A3475"/>
    <w:rsid w:val="007A41C8"/>
    <w:rsid w:val="007A54CE"/>
    <w:rsid w:val="007A5D3A"/>
    <w:rsid w:val="007A6FD9"/>
    <w:rsid w:val="007A7FFA"/>
    <w:rsid w:val="007B04EB"/>
    <w:rsid w:val="007B0D4F"/>
    <w:rsid w:val="007B5051"/>
    <w:rsid w:val="007B5A3D"/>
    <w:rsid w:val="007B5B95"/>
    <w:rsid w:val="007B6032"/>
    <w:rsid w:val="007B68EA"/>
    <w:rsid w:val="007B7453"/>
    <w:rsid w:val="007C2D89"/>
    <w:rsid w:val="007C4593"/>
    <w:rsid w:val="007C5309"/>
    <w:rsid w:val="007C6069"/>
    <w:rsid w:val="007C764C"/>
    <w:rsid w:val="007D06C4"/>
    <w:rsid w:val="007D1352"/>
    <w:rsid w:val="007D2508"/>
    <w:rsid w:val="007D346A"/>
    <w:rsid w:val="007D362D"/>
    <w:rsid w:val="007D484B"/>
    <w:rsid w:val="007D6518"/>
    <w:rsid w:val="007D76BD"/>
    <w:rsid w:val="007E0BF1"/>
    <w:rsid w:val="007E63BF"/>
    <w:rsid w:val="007F0ED8"/>
    <w:rsid w:val="007F0F63"/>
    <w:rsid w:val="007F63DA"/>
    <w:rsid w:val="007F6542"/>
    <w:rsid w:val="007F75CE"/>
    <w:rsid w:val="008013A4"/>
    <w:rsid w:val="008027CE"/>
    <w:rsid w:val="00802F42"/>
    <w:rsid w:val="00804383"/>
    <w:rsid w:val="00804BB7"/>
    <w:rsid w:val="00804D41"/>
    <w:rsid w:val="00810257"/>
    <w:rsid w:val="008104F5"/>
    <w:rsid w:val="00811072"/>
    <w:rsid w:val="00811369"/>
    <w:rsid w:val="0081412B"/>
    <w:rsid w:val="00815419"/>
    <w:rsid w:val="00815CA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77"/>
    <w:rsid w:val="00840F84"/>
    <w:rsid w:val="00842A47"/>
    <w:rsid w:val="00843C13"/>
    <w:rsid w:val="00843DEF"/>
    <w:rsid w:val="008454F8"/>
    <w:rsid w:val="0085173A"/>
    <w:rsid w:val="0085195E"/>
    <w:rsid w:val="008603CE"/>
    <w:rsid w:val="00860915"/>
    <w:rsid w:val="00860DFB"/>
    <w:rsid w:val="008620FC"/>
    <w:rsid w:val="008627A5"/>
    <w:rsid w:val="00863E05"/>
    <w:rsid w:val="00865ACA"/>
    <w:rsid w:val="00865D28"/>
    <w:rsid w:val="00865F85"/>
    <w:rsid w:val="00867AE1"/>
    <w:rsid w:val="00867C10"/>
    <w:rsid w:val="00870439"/>
    <w:rsid w:val="00870DA1"/>
    <w:rsid w:val="00873235"/>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5859"/>
    <w:rsid w:val="008E6A84"/>
    <w:rsid w:val="008F0CDC"/>
    <w:rsid w:val="008F17A3"/>
    <w:rsid w:val="008F1C19"/>
    <w:rsid w:val="008F1ED3"/>
    <w:rsid w:val="008F4C29"/>
    <w:rsid w:val="008F70BD"/>
    <w:rsid w:val="008F75A4"/>
    <w:rsid w:val="008F788F"/>
    <w:rsid w:val="008F7EA2"/>
    <w:rsid w:val="00902722"/>
    <w:rsid w:val="009027BC"/>
    <w:rsid w:val="009062E6"/>
    <w:rsid w:val="00911BE5"/>
    <w:rsid w:val="009128F8"/>
    <w:rsid w:val="00913CA9"/>
    <w:rsid w:val="009145AE"/>
    <w:rsid w:val="009146CE"/>
    <w:rsid w:val="00914CA7"/>
    <w:rsid w:val="00915C3E"/>
    <w:rsid w:val="009161A8"/>
    <w:rsid w:val="009245AE"/>
    <w:rsid w:val="009245F5"/>
    <w:rsid w:val="009249EC"/>
    <w:rsid w:val="009273B3"/>
    <w:rsid w:val="00930546"/>
    <w:rsid w:val="009305B5"/>
    <w:rsid w:val="009378DD"/>
    <w:rsid w:val="009429D5"/>
    <w:rsid w:val="00942BF1"/>
    <w:rsid w:val="00943C15"/>
    <w:rsid w:val="00945180"/>
    <w:rsid w:val="00945428"/>
    <w:rsid w:val="0094607B"/>
    <w:rsid w:val="00953604"/>
    <w:rsid w:val="0095496B"/>
    <w:rsid w:val="00955318"/>
    <w:rsid w:val="00960F1E"/>
    <w:rsid w:val="009610DC"/>
    <w:rsid w:val="00961490"/>
    <w:rsid w:val="0096381A"/>
    <w:rsid w:val="00965E04"/>
    <w:rsid w:val="009674AD"/>
    <w:rsid w:val="00970CDC"/>
    <w:rsid w:val="00975727"/>
    <w:rsid w:val="00977010"/>
    <w:rsid w:val="00977D02"/>
    <w:rsid w:val="00977FF9"/>
    <w:rsid w:val="009809BB"/>
    <w:rsid w:val="00980EBB"/>
    <w:rsid w:val="0098364B"/>
    <w:rsid w:val="009908A3"/>
    <w:rsid w:val="009911AF"/>
    <w:rsid w:val="00991875"/>
    <w:rsid w:val="00991F92"/>
    <w:rsid w:val="00992985"/>
    <w:rsid w:val="00993889"/>
    <w:rsid w:val="00993E2B"/>
    <w:rsid w:val="0099551B"/>
    <w:rsid w:val="00996BD2"/>
    <w:rsid w:val="00997BF1"/>
    <w:rsid w:val="009A089C"/>
    <w:rsid w:val="009A118E"/>
    <w:rsid w:val="009A21CD"/>
    <w:rsid w:val="009A278C"/>
    <w:rsid w:val="009A2BC2"/>
    <w:rsid w:val="009A2FE6"/>
    <w:rsid w:val="009A42C1"/>
    <w:rsid w:val="009A5429"/>
    <w:rsid w:val="009A58C5"/>
    <w:rsid w:val="009A72AD"/>
    <w:rsid w:val="009B09E0"/>
    <w:rsid w:val="009B0BC5"/>
    <w:rsid w:val="009B1247"/>
    <w:rsid w:val="009B6029"/>
    <w:rsid w:val="009B6971"/>
    <w:rsid w:val="009C27F1"/>
    <w:rsid w:val="009C3152"/>
    <w:rsid w:val="009C3257"/>
    <w:rsid w:val="009C4CFA"/>
    <w:rsid w:val="009C5070"/>
    <w:rsid w:val="009D112C"/>
    <w:rsid w:val="009D1385"/>
    <w:rsid w:val="009D1416"/>
    <w:rsid w:val="009D1A53"/>
    <w:rsid w:val="009D47FA"/>
    <w:rsid w:val="009D4C5B"/>
    <w:rsid w:val="009D50D2"/>
    <w:rsid w:val="009D6BCA"/>
    <w:rsid w:val="009E0F62"/>
    <w:rsid w:val="009E4A58"/>
    <w:rsid w:val="009E50CF"/>
    <w:rsid w:val="009E5A2D"/>
    <w:rsid w:val="009E5AB2"/>
    <w:rsid w:val="009E6219"/>
    <w:rsid w:val="009E6E15"/>
    <w:rsid w:val="009F03B3"/>
    <w:rsid w:val="00A0096C"/>
    <w:rsid w:val="00A01757"/>
    <w:rsid w:val="00A028C0"/>
    <w:rsid w:val="00A02BAE"/>
    <w:rsid w:val="00A06A6B"/>
    <w:rsid w:val="00A07E47"/>
    <w:rsid w:val="00A1062B"/>
    <w:rsid w:val="00A129D0"/>
    <w:rsid w:val="00A12C33"/>
    <w:rsid w:val="00A138BA"/>
    <w:rsid w:val="00A138E5"/>
    <w:rsid w:val="00A14C8E"/>
    <w:rsid w:val="00A153D9"/>
    <w:rsid w:val="00A155BC"/>
    <w:rsid w:val="00A15A67"/>
    <w:rsid w:val="00A15B77"/>
    <w:rsid w:val="00A15F09"/>
    <w:rsid w:val="00A169B6"/>
    <w:rsid w:val="00A2271D"/>
    <w:rsid w:val="00A237D5"/>
    <w:rsid w:val="00A249BB"/>
    <w:rsid w:val="00A30EFC"/>
    <w:rsid w:val="00A31984"/>
    <w:rsid w:val="00A32D73"/>
    <w:rsid w:val="00A3367B"/>
    <w:rsid w:val="00A33C67"/>
    <w:rsid w:val="00A35025"/>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28B3"/>
    <w:rsid w:val="00A648CD"/>
    <w:rsid w:val="00A6537A"/>
    <w:rsid w:val="00A67866"/>
    <w:rsid w:val="00A70B07"/>
    <w:rsid w:val="00A71DC9"/>
    <w:rsid w:val="00A723F8"/>
    <w:rsid w:val="00A77CCB"/>
    <w:rsid w:val="00A83D8D"/>
    <w:rsid w:val="00A8446B"/>
    <w:rsid w:val="00A8473F"/>
    <w:rsid w:val="00A862D6"/>
    <w:rsid w:val="00A86D2A"/>
    <w:rsid w:val="00A8715E"/>
    <w:rsid w:val="00A91776"/>
    <w:rsid w:val="00A9295B"/>
    <w:rsid w:val="00A93B09"/>
    <w:rsid w:val="00A952D7"/>
    <w:rsid w:val="00A963F7"/>
    <w:rsid w:val="00A96AD8"/>
    <w:rsid w:val="00AA052C"/>
    <w:rsid w:val="00AA1E45"/>
    <w:rsid w:val="00AA4286"/>
    <w:rsid w:val="00AA456B"/>
    <w:rsid w:val="00AA57F5"/>
    <w:rsid w:val="00AA672E"/>
    <w:rsid w:val="00AA689B"/>
    <w:rsid w:val="00AA6EC9"/>
    <w:rsid w:val="00AB6309"/>
    <w:rsid w:val="00AB684B"/>
    <w:rsid w:val="00AB6C5F"/>
    <w:rsid w:val="00AB7129"/>
    <w:rsid w:val="00AC27A6"/>
    <w:rsid w:val="00AC29B6"/>
    <w:rsid w:val="00AC30F7"/>
    <w:rsid w:val="00AC339B"/>
    <w:rsid w:val="00AC3A5A"/>
    <w:rsid w:val="00AC4D95"/>
    <w:rsid w:val="00AC5DF4"/>
    <w:rsid w:val="00AD0AEF"/>
    <w:rsid w:val="00AD11B7"/>
    <w:rsid w:val="00AD1A94"/>
    <w:rsid w:val="00AD1B08"/>
    <w:rsid w:val="00AD1C05"/>
    <w:rsid w:val="00AD4126"/>
    <w:rsid w:val="00AD421C"/>
    <w:rsid w:val="00AD44FA"/>
    <w:rsid w:val="00AE070A"/>
    <w:rsid w:val="00AE101C"/>
    <w:rsid w:val="00AE2A69"/>
    <w:rsid w:val="00AE37E5"/>
    <w:rsid w:val="00AE5EB4"/>
    <w:rsid w:val="00AF043F"/>
    <w:rsid w:val="00AF0C18"/>
    <w:rsid w:val="00AF47C5"/>
    <w:rsid w:val="00AF5398"/>
    <w:rsid w:val="00B049AF"/>
    <w:rsid w:val="00B07242"/>
    <w:rsid w:val="00B0731D"/>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233"/>
    <w:rsid w:val="00B378E5"/>
    <w:rsid w:val="00B4346D"/>
    <w:rsid w:val="00B440F4"/>
    <w:rsid w:val="00B447A5"/>
    <w:rsid w:val="00B460DC"/>
    <w:rsid w:val="00B4654C"/>
    <w:rsid w:val="00B47293"/>
    <w:rsid w:val="00B502C0"/>
    <w:rsid w:val="00B50DE5"/>
    <w:rsid w:val="00B50E50"/>
    <w:rsid w:val="00B52120"/>
    <w:rsid w:val="00B525AD"/>
    <w:rsid w:val="00B54ABC"/>
    <w:rsid w:val="00B56FBE"/>
    <w:rsid w:val="00B60ACF"/>
    <w:rsid w:val="00B61682"/>
    <w:rsid w:val="00B62B58"/>
    <w:rsid w:val="00B65149"/>
    <w:rsid w:val="00B66567"/>
    <w:rsid w:val="00B66F52"/>
    <w:rsid w:val="00B66FE5"/>
    <w:rsid w:val="00B72880"/>
    <w:rsid w:val="00B758BF"/>
    <w:rsid w:val="00B77EC8"/>
    <w:rsid w:val="00B81D36"/>
    <w:rsid w:val="00B827A6"/>
    <w:rsid w:val="00B831CE"/>
    <w:rsid w:val="00B86677"/>
    <w:rsid w:val="00B87131"/>
    <w:rsid w:val="00B939B1"/>
    <w:rsid w:val="00B96D40"/>
    <w:rsid w:val="00B97386"/>
    <w:rsid w:val="00BA263B"/>
    <w:rsid w:val="00BA42B2"/>
    <w:rsid w:val="00BA58D4"/>
    <w:rsid w:val="00BA5B9E"/>
    <w:rsid w:val="00BA7C9A"/>
    <w:rsid w:val="00BB153C"/>
    <w:rsid w:val="00BB1FC2"/>
    <w:rsid w:val="00BB5F8F"/>
    <w:rsid w:val="00BB657A"/>
    <w:rsid w:val="00BC1248"/>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008B"/>
    <w:rsid w:val="00C21540"/>
    <w:rsid w:val="00C21906"/>
    <w:rsid w:val="00C21BFA"/>
    <w:rsid w:val="00C24C8D"/>
    <w:rsid w:val="00C25FE2"/>
    <w:rsid w:val="00C26B53"/>
    <w:rsid w:val="00C279B2"/>
    <w:rsid w:val="00C27A0F"/>
    <w:rsid w:val="00C33E50"/>
    <w:rsid w:val="00C34C20"/>
    <w:rsid w:val="00C35A3E"/>
    <w:rsid w:val="00C42130"/>
    <w:rsid w:val="00C423A4"/>
    <w:rsid w:val="00C423E3"/>
    <w:rsid w:val="00C44BF5"/>
    <w:rsid w:val="00C50423"/>
    <w:rsid w:val="00C521D6"/>
    <w:rsid w:val="00C5223F"/>
    <w:rsid w:val="00C53B79"/>
    <w:rsid w:val="00C54343"/>
    <w:rsid w:val="00C55232"/>
    <w:rsid w:val="00C553A4"/>
    <w:rsid w:val="00C55A06"/>
    <w:rsid w:val="00C55D03"/>
    <w:rsid w:val="00C601BC"/>
    <w:rsid w:val="00C6329F"/>
    <w:rsid w:val="00C63340"/>
    <w:rsid w:val="00C643F9"/>
    <w:rsid w:val="00C64E95"/>
    <w:rsid w:val="00C71372"/>
    <w:rsid w:val="00C72410"/>
    <w:rsid w:val="00C7287F"/>
    <w:rsid w:val="00C763A6"/>
    <w:rsid w:val="00C80CB8"/>
    <w:rsid w:val="00C819F8"/>
    <w:rsid w:val="00C8248C"/>
    <w:rsid w:val="00C84599"/>
    <w:rsid w:val="00C84E33"/>
    <w:rsid w:val="00C84F68"/>
    <w:rsid w:val="00C860F3"/>
    <w:rsid w:val="00C86D6F"/>
    <w:rsid w:val="00C905FC"/>
    <w:rsid w:val="00C92D03"/>
    <w:rsid w:val="00C9319C"/>
    <w:rsid w:val="00C9435D"/>
    <w:rsid w:val="00C94DF2"/>
    <w:rsid w:val="00C96741"/>
    <w:rsid w:val="00C97C5D"/>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0D"/>
    <w:rsid w:val="00CC3C2F"/>
    <w:rsid w:val="00CC4AC8"/>
    <w:rsid w:val="00CC5233"/>
    <w:rsid w:val="00CC5DE6"/>
    <w:rsid w:val="00CC6E4E"/>
    <w:rsid w:val="00CC6FE8"/>
    <w:rsid w:val="00CC7202"/>
    <w:rsid w:val="00CD2808"/>
    <w:rsid w:val="00CD28BF"/>
    <w:rsid w:val="00CD4092"/>
    <w:rsid w:val="00CD4A20"/>
    <w:rsid w:val="00CD505E"/>
    <w:rsid w:val="00CD50A1"/>
    <w:rsid w:val="00CD519E"/>
    <w:rsid w:val="00CE0C4F"/>
    <w:rsid w:val="00CE30EA"/>
    <w:rsid w:val="00CE61E1"/>
    <w:rsid w:val="00CF048A"/>
    <w:rsid w:val="00CF155A"/>
    <w:rsid w:val="00CF2947"/>
    <w:rsid w:val="00CF686F"/>
    <w:rsid w:val="00CF6E60"/>
    <w:rsid w:val="00CF7BCA"/>
    <w:rsid w:val="00D008FD"/>
    <w:rsid w:val="00D02405"/>
    <w:rsid w:val="00D0321C"/>
    <w:rsid w:val="00D035EC"/>
    <w:rsid w:val="00D06AB1"/>
    <w:rsid w:val="00D06FC1"/>
    <w:rsid w:val="00D072ED"/>
    <w:rsid w:val="00D07A16"/>
    <w:rsid w:val="00D1067E"/>
    <w:rsid w:val="00D10F50"/>
    <w:rsid w:val="00D11272"/>
    <w:rsid w:val="00D126F5"/>
    <w:rsid w:val="00D1489E"/>
    <w:rsid w:val="00D17D98"/>
    <w:rsid w:val="00D206E5"/>
    <w:rsid w:val="00D20737"/>
    <w:rsid w:val="00D21E81"/>
    <w:rsid w:val="00D223DE"/>
    <w:rsid w:val="00D25E37"/>
    <w:rsid w:val="00D2661A"/>
    <w:rsid w:val="00D27582"/>
    <w:rsid w:val="00D27EC4"/>
    <w:rsid w:val="00D32719"/>
    <w:rsid w:val="00D33333"/>
    <w:rsid w:val="00D352A2"/>
    <w:rsid w:val="00D4162B"/>
    <w:rsid w:val="00D4514F"/>
    <w:rsid w:val="00D451E2"/>
    <w:rsid w:val="00D45D7A"/>
    <w:rsid w:val="00D45E89"/>
    <w:rsid w:val="00D45E8D"/>
    <w:rsid w:val="00D466AE"/>
    <w:rsid w:val="00D4734F"/>
    <w:rsid w:val="00D50593"/>
    <w:rsid w:val="00D51BF3"/>
    <w:rsid w:val="00D60F98"/>
    <w:rsid w:val="00D660E0"/>
    <w:rsid w:val="00D66846"/>
    <w:rsid w:val="00D675FB"/>
    <w:rsid w:val="00D7006E"/>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15FD"/>
    <w:rsid w:val="00DB38EE"/>
    <w:rsid w:val="00DB498B"/>
    <w:rsid w:val="00DB66CA"/>
    <w:rsid w:val="00DB6BCA"/>
    <w:rsid w:val="00DB6D8E"/>
    <w:rsid w:val="00DB6DE1"/>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398F"/>
    <w:rsid w:val="00E15CCD"/>
    <w:rsid w:val="00E16510"/>
    <w:rsid w:val="00E202EF"/>
    <w:rsid w:val="00E210B5"/>
    <w:rsid w:val="00E226C2"/>
    <w:rsid w:val="00E2552F"/>
    <w:rsid w:val="00E3137A"/>
    <w:rsid w:val="00E32CCF"/>
    <w:rsid w:val="00E34A98"/>
    <w:rsid w:val="00E35D1E"/>
    <w:rsid w:val="00E364F9"/>
    <w:rsid w:val="00E365FA"/>
    <w:rsid w:val="00E36789"/>
    <w:rsid w:val="00E36CA6"/>
    <w:rsid w:val="00E44A83"/>
    <w:rsid w:val="00E502C1"/>
    <w:rsid w:val="00E502DD"/>
    <w:rsid w:val="00E50D3A"/>
    <w:rsid w:val="00E51387"/>
    <w:rsid w:val="00E514F2"/>
    <w:rsid w:val="00E51E68"/>
    <w:rsid w:val="00E52EFD"/>
    <w:rsid w:val="00E5408A"/>
    <w:rsid w:val="00E54DB9"/>
    <w:rsid w:val="00E56800"/>
    <w:rsid w:val="00E60B12"/>
    <w:rsid w:val="00E60C63"/>
    <w:rsid w:val="00E6177C"/>
    <w:rsid w:val="00E62FF9"/>
    <w:rsid w:val="00E633B6"/>
    <w:rsid w:val="00E635D6"/>
    <w:rsid w:val="00E639BC"/>
    <w:rsid w:val="00E664CC"/>
    <w:rsid w:val="00E70388"/>
    <w:rsid w:val="00E70F92"/>
    <w:rsid w:val="00E715B7"/>
    <w:rsid w:val="00E74313"/>
    <w:rsid w:val="00E74C54"/>
    <w:rsid w:val="00E77A03"/>
    <w:rsid w:val="00E80948"/>
    <w:rsid w:val="00E816AE"/>
    <w:rsid w:val="00E822E8"/>
    <w:rsid w:val="00E82554"/>
    <w:rsid w:val="00E82606"/>
    <w:rsid w:val="00E831C1"/>
    <w:rsid w:val="00E831F4"/>
    <w:rsid w:val="00E834F6"/>
    <w:rsid w:val="00E8410C"/>
    <w:rsid w:val="00E846C8"/>
    <w:rsid w:val="00E84957"/>
    <w:rsid w:val="00E84A55"/>
    <w:rsid w:val="00E85BFF"/>
    <w:rsid w:val="00E8731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B83"/>
    <w:rsid w:val="00EB5EDF"/>
    <w:rsid w:val="00EB60FE"/>
    <w:rsid w:val="00EB74DB"/>
    <w:rsid w:val="00EC5359"/>
    <w:rsid w:val="00EC538A"/>
    <w:rsid w:val="00EC562A"/>
    <w:rsid w:val="00ED067A"/>
    <w:rsid w:val="00ED0C85"/>
    <w:rsid w:val="00ED2B50"/>
    <w:rsid w:val="00ED3340"/>
    <w:rsid w:val="00ED4ED9"/>
    <w:rsid w:val="00EE0350"/>
    <w:rsid w:val="00EE0719"/>
    <w:rsid w:val="00EE0E80"/>
    <w:rsid w:val="00EE3DC6"/>
    <w:rsid w:val="00EE613F"/>
    <w:rsid w:val="00EE7295"/>
    <w:rsid w:val="00EE7869"/>
    <w:rsid w:val="00EF054A"/>
    <w:rsid w:val="00EF3235"/>
    <w:rsid w:val="00EF347A"/>
    <w:rsid w:val="00EF4464"/>
    <w:rsid w:val="00EF7E72"/>
    <w:rsid w:val="00F027CF"/>
    <w:rsid w:val="00F06D37"/>
    <w:rsid w:val="00F07B9D"/>
    <w:rsid w:val="00F11586"/>
    <w:rsid w:val="00F1183B"/>
    <w:rsid w:val="00F11C9F"/>
    <w:rsid w:val="00F12263"/>
    <w:rsid w:val="00F13E0D"/>
    <w:rsid w:val="00F1409D"/>
    <w:rsid w:val="00F14214"/>
    <w:rsid w:val="00F157A9"/>
    <w:rsid w:val="00F16F00"/>
    <w:rsid w:val="00F25BB6"/>
    <w:rsid w:val="00F26B7E"/>
    <w:rsid w:val="00F27A3B"/>
    <w:rsid w:val="00F32780"/>
    <w:rsid w:val="00F33729"/>
    <w:rsid w:val="00F33817"/>
    <w:rsid w:val="00F41485"/>
    <w:rsid w:val="00F41F31"/>
    <w:rsid w:val="00F420D5"/>
    <w:rsid w:val="00F44D16"/>
    <w:rsid w:val="00F451EA"/>
    <w:rsid w:val="00F45447"/>
    <w:rsid w:val="00F456C6"/>
    <w:rsid w:val="00F4577B"/>
    <w:rsid w:val="00F46496"/>
    <w:rsid w:val="00F474D0"/>
    <w:rsid w:val="00F50179"/>
    <w:rsid w:val="00F515EE"/>
    <w:rsid w:val="00F56511"/>
    <w:rsid w:val="00F56EE9"/>
    <w:rsid w:val="00F610D3"/>
    <w:rsid w:val="00F6194E"/>
    <w:rsid w:val="00F61FE3"/>
    <w:rsid w:val="00F623AC"/>
    <w:rsid w:val="00F6412A"/>
    <w:rsid w:val="00F65893"/>
    <w:rsid w:val="00F66A4A"/>
    <w:rsid w:val="00F71E22"/>
    <w:rsid w:val="00F72142"/>
    <w:rsid w:val="00F72AE7"/>
    <w:rsid w:val="00F740EC"/>
    <w:rsid w:val="00F833BA"/>
    <w:rsid w:val="00F84FD0"/>
    <w:rsid w:val="00F859A8"/>
    <w:rsid w:val="00F86D87"/>
    <w:rsid w:val="00F9108B"/>
    <w:rsid w:val="00F91349"/>
    <w:rsid w:val="00F93659"/>
    <w:rsid w:val="00F93A8A"/>
    <w:rsid w:val="00F95248"/>
    <w:rsid w:val="00F956A9"/>
    <w:rsid w:val="00F963ED"/>
    <w:rsid w:val="00F966CF"/>
    <w:rsid w:val="00F96CAE"/>
    <w:rsid w:val="00F971A2"/>
    <w:rsid w:val="00F97C99"/>
    <w:rsid w:val="00F97DBD"/>
    <w:rsid w:val="00FA07F7"/>
    <w:rsid w:val="00FA662D"/>
    <w:rsid w:val="00FA73B1"/>
    <w:rsid w:val="00FA74F8"/>
    <w:rsid w:val="00FB0CB9"/>
    <w:rsid w:val="00FB231D"/>
    <w:rsid w:val="00FB45F1"/>
    <w:rsid w:val="00FB4A72"/>
    <w:rsid w:val="00FB54E8"/>
    <w:rsid w:val="00FB7054"/>
    <w:rsid w:val="00FC17B7"/>
    <w:rsid w:val="00FC2CB7"/>
    <w:rsid w:val="00FC4090"/>
    <w:rsid w:val="00FC55B4"/>
    <w:rsid w:val="00FD00E6"/>
    <w:rsid w:val="00FD09A1"/>
    <w:rsid w:val="00FD1B75"/>
    <w:rsid w:val="00FD2A7C"/>
    <w:rsid w:val="00FD59EB"/>
    <w:rsid w:val="00FD7299"/>
    <w:rsid w:val="00FE1615"/>
    <w:rsid w:val="00FE1FBE"/>
    <w:rsid w:val="00FE29D5"/>
    <w:rsid w:val="00FE3901"/>
    <w:rsid w:val="00FE39D3"/>
    <w:rsid w:val="00FE4BCE"/>
    <w:rsid w:val="00FE54AE"/>
    <w:rsid w:val="00FE576A"/>
    <w:rsid w:val="00FE7E79"/>
    <w:rsid w:val="00FF3E7D"/>
    <w:rsid w:val="00FF5B99"/>
    <w:rsid w:val="00FF6374"/>
    <w:rsid w:val="00FF730C"/>
    <w:rsid w:val="00FF73F4"/>
    <w:rsid w:val="00FF7CE4"/>
    <w:rsid w:val="00FF7E39"/>
    <w:rsid w:val="094A1F6F"/>
    <w:rsid w:val="0D0B753B"/>
    <w:rsid w:val="109B41A5"/>
    <w:rsid w:val="148D3B4D"/>
    <w:rsid w:val="1630124C"/>
    <w:rsid w:val="18807923"/>
    <w:rsid w:val="1E7516CA"/>
    <w:rsid w:val="2F5577D9"/>
    <w:rsid w:val="31472D78"/>
    <w:rsid w:val="35A07DDC"/>
    <w:rsid w:val="38A711E2"/>
    <w:rsid w:val="398C54E1"/>
    <w:rsid w:val="3B063AC6"/>
    <w:rsid w:val="3D937FF7"/>
    <w:rsid w:val="3FB82A08"/>
    <w:rsid w:val="41B06776"/>
    <w:rsid w:val="41C920BC"/>
    <w:rsid w:val="4284618E"/>
    <w:rsid w:val="447E6249"/>
    <w:rsid w:val="471B0268"/>
    <w:rsid w:val="50D53B08"/>
    <w:rsid w:val="53142D7E"/>
    <w:rsid w:val="54DD7AC9"/>
    <w:rsid w:val="62A0353F"/>
    <w:rsid w:val="65266D7F"/>
    <w:rsid w:val="659A617C"/>
    <w:rsid w:val="677232A8"/>
    <w:rsid w:val="67C12948"/>
    <w:rsid w:val="68D03AD0"/>
    <w:rsid w:val="69351AA8"/>
    <w:rsid w:val="6A5704FA"/>
    <w:rsid w:val="71823D48"/>
    <w:rsid w:val="760C10BF"/>
    <w:rsid w:val="77245D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alibri" w:hAnsi="Calibri" w:eastAsia="宋体" w:cs="Times New Roman"/>
      <w:kern w:val="2"/>
      <w:sz w:val="21"/>
      <w:szCs w:val="21"/>
      <w:lang w:val="en-US" w:eastAsia="zh-CN" w:bidi="ar-SA"/>
    </w:rPr>
  </w:style>
  <w:style w:type="paragraph" w:styleId="2">
    <w:name w:val="heading 1"/>
    <w:basedOn w:val="1"/>
    <w:next w:val="1"/>
    <w:link w:val="38"/>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9"/>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40"/>
    <w:qFormat/>
    <w:uiPriority w:val="0"/>
    <w:pPr>
      <w:keepNext/>
      <w:keepLines/>
      <w:spacing w:before="260" w:after="260" w:line="416" w:lineRule="auto"/>
      <w:outlineLvl w:val="2"/>
    </w:pPr>
    <w:rPr>
      <w:b/>
      <w:bCs/>
      <w:sz w:val="32"/>
      <w:szCs w:val="32"/>
    </w:rPr>
  </w:style>
  <w:style w:type="paragraph" w:styleId="5">
    <w:name w:val="heading 4"/>
    <w:basedOn w:val="1"/>
    <w:next w:val="1"/>
    <w:link w:val="41"/>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2"/>
    <w:qFormat/>
    <w:uiPriority w:val="0"/>
    <w:pPr>
      <w:keepNext/>
      <w:keepLines/>
      <w:spacing w:before="280" w:after="290" w:line="376" w:lineRule="auto"/>
      <w:outlineLvl w:val="4"/>
    </w:pPr>
    <w:rPr>
      <w:b/>
      <w:bCs/>
      <w:sz w:val="28"/>
      <w:szCs w:val="28"/>
    </w:rPr>
  </w:style>
  <w:style w:type="paragraph" w:styleId="7">
    <w:name w:val="heading 6"/>
    <w:basedOn w:val="1"/>
    <w:next w:val="1"/>
    <w:link w:val="43"/>
    <w:qFormat/>
    <w:uiPriority w:val="0"/>
    <w:pPr>
      <w:keepNext/>
      <w:keepLines/>
      <w:spacing w:before="240" w:after="64" w:line="320" w:lineRule="auto"/>
      <w:outlineLvl w:val="5"/>
    </w:pPr>
    <w:rPr>
      <w:rFonts w:ascii="Arial" w:hAnsi="Arial" w:eastAsia="黑体"/>
      <w:b/>
      <w:bCs/>
      <w:sz w:val="24"/>
      <w:szCs w:val="24"/>
    </w:rPr>
  </w:style>
  <w:style w:type="paragraph" w:styleId="8">
    <w:name w:val="heading 7"/>
    <w:basedOn w:val="1"/>
    <w:next w:val="1"/>
    <w:link w:val="44"/>
    <w:qFormat/>
    <w:uiPriority w:val="0"/>
    <w:pPr>
      <w:keepNext/>
      <w:keepLines/>
      <w:spacing w:before="240" w:after="64" w:line="320" w:lineRule="auto"/>
      <w:outlineLvl w:val="6"/>
    </w:pPr>
    <w:rPr>
      <w:b/>
      <w:bCs/>
      <w:sz w:val="24"/>
      <w:szCs w:val="24"/>
    </w:rPr>
  </w:style>
  <w:style w:type="paragraph" w:styleId="9">
    <w:name w:val="heading 8"/>
    <w:basedOn w:val="1"/>
    <w:next w:val="1"/>
    <w:link w:val="45"/>
    <w:qFormat/>
    <w:uiPriority w:val="0"/>
    <w:pPr>
      <w:keepNext/>
      <w:keepLines/>
      <w:spacing w:before="240" w:after="64" w:line="320" w:lineRule="auto"/>
      <w:outlineLvl w:val="7"/>
    </w:pPr>
    <w:rPr>
      <w:rFonts w:ascii="Arial" w:hAnsi="Arial" w:eastAsia="黑体"/>
      <w:sz w:val="24"/>
      <w:szCs w:val="24"/>
    </w:rPr>
  </w:style>
  <w:style w:type="paragraph" w:styleId="10">
    <w:name w:val="heading 9"/>
    <w:basedOn w:val="1"/>
    <w:next w:val="1"/>
    <w:link w:val="46"/>
    <w:qFormat/>
    <w:uiPriority w:val="0"/>
    <w:pPr>
      <w:keepNext/>
      <w:keepLines/>
      <w:spacing w:before="240" w:after="64" w:line="320" w:lineRule="auto"/>
      <w:outlineLvl w:val="8"/>
    </w:pPr>
    <w:rPr>
      <w:rFonts w:ascii="Arial" w:hAnsi="Arial" w:eastAsia="黑体"/>
    </w:rPr>
  </w:style>
  <w:style w:type="character" w:default="1" w:styleId="31">
    <w:name w:val="Default Paragraph Font"/>
    <w:semiHidden/>
    <w:unhideWhenUsed/>
    <w:uiPriority w:val="1"/>
  </w:style>
  <w:style w:type="table" w:default="1" w:styleId="29">
    <w:name w:val="Normal Table"/>
    <w:semiHidden/>
    <w:unhideWhenUsed/>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annotation text"/>
    <w:basedOn w:val="1"/>
    <w:link w:val="237"/>
    <w:semiHidden/>
    <w:unhideWhenUsed/>
    <w:qFormat/>
    <w:uiPriority w:val="99"/>
  </w:style>
  <w:style w:type="paragraph" w:styleId="14">
    <w:name w:val="Body Text"/>
    <w:basedOn w:val="1"/>
    <w:link w:val="90"/>
    <w:qFormat/>
    <w:uiPriority w:val="0"/>
    <w:pPr>
      <w:spacing w:after="120"/>
    </w:pPr>
  </w:style>
  <w:style w:type="paragraph" w:styleId="15">
    <w:name w:val="toc 5"/>
    <w:basedOn w:val="1"/>
    <w:next w:val="1"/>
    <w:unhideWhenUsed/>
    <w:qFormat/>
    <w:uiPriority w:val="39"/>
    <w:pPr>
      <w:ind w:left="839"/>
    </w:pPr>
    <w:rPr>
      <w:rFonts w:ascii="宋体"/>
    </w:rPr>
  </w:style>
  <w:style w:type="paragraph" w:styleId="16">
    <w:name w:val="toc 3"/>
    <w:basedOn w:val="1"/>
    <w:next w:val="1"/>
    <w:unhideWhenUsed/>
    <w:qFormat/>
    <w:uiPriority w:val="39"/>
    <w:pPr>
      <w:spacing w:line="300" w:lineRule="exact"/>
      <w:ind w:left="420"/>
    </w:pPr>
    <w:rPr>
      <w:rFonts w:ascii="宋体"/>
    </w:rPr>
  </w:style>
  <w:style w:type="paragraph" w:styleId="17">
    <w:name w:val="Balloon Text"/>
    <w:basedOn w:val="1"/>
    <w:link w:val="49"/>
    <w:semiHidden/>
    <w:unhideWhenUsed/>
    <w:qFormat/>
    <w:uiPriority w:val="99"/>
    <w:rPr>
      <w:sz w:val="18"/>
      <w:szCs w:val="18"/>
    </w:rPr>
  </w:style>
  <w:style w:type="paragraph" w:styleId="18">
    <w:name w:val="footer"/>
    <w:basedOn w:val="1"/>
    <w:link w:val="48"/>
    <w:qFormat/>
    <w:uiPriority w:val="99"/>
    <w:pPr>
      <w:tabs>
        <w:tab w:val="center" w:pos="4153"/>
        <w:tab w:val="right" w:pos="8306"/>
      </w:tabs>
      <w:snapToGrid w:val="0"/>
      <w:jc w:val="right"/>
    </w:pPr>
    <w:rPr>
      <w:rFonts w:ascii="宋体"/>
      <w:sz w:val="18"/>
      <w:szCs w:val="18"/>
    </w:rPr>
  </w:style>
  <w:style w:type="paragraph" w:styleId="19">
    <w:name w:val="header"/>
    <w:basedOn w:val="1"/>
    <w:link w:val="47"/>
    <w:qFormat/>
    <w:uiPriority w:val="99"/>
    <w:pPr>
      <w:tabs>
        <w:tab w:val="center" w:pos="4153"/>
        <w:tab w:val="right" w:pos="8306"/>
      </w:tabs>
      <w:snapToGrid w:val="0"/>
      <w:jc w:val="center"/>
    </w:pPr>
    <w:rPr>
      <w:sz w:val="18"/>
      <w:szCs w:val="18"/>
    </w:rPr>
  </w:style>
  <w:style w:type="paragraph" w:styleId="20">
    <w:name w:val="toc 1"/>
    <w:basedOn w:val="1"/>
    <w:next w:val="1"/>
    <w:unhideWhenUsed/>
    <w:qFormat/>
    <w:uiPriority w:val="39"/>
    <w:pPr>
      <w:tabs>
        <w:tab w:val="right" w:leader="dot" w:pos="9344"/>
      </w:tabs>
      <w:spacing w:line="400" w:lineRule="atLeast"/>
    </w:pPr>
    <w:rPr>
      <w:rFonts w:ascii="宋体"/>
    </w:rPr>
  </w:style>
  <w:style w:type="paragraph" w:styleId="21">
    <w:name w:val="toc 4"/>
    <w:basedOn w:val="1"/>
    <w:next w:val="1"/>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3"/>
    <w:semiHidden/>
    <w:qFormat/>
    <w:uiPriority w:val="0"/>
    <w:pPr>
      <w:snapToGrid w:val="0"/>
      <w:spacing w:line="300" w:lineRule="exact"/>
      <w:ind w:left="400" w:leftChars="200" w:hanging="200" w:hangingChars="200"/>
    </w:pPr>
    <w:rPr>
      <w:rFonts w:ascii="宋体"/>
      <w:sz w:val="18"/>
      <w:szCs w:val="18"/>
    </w:rPr>
  </w:style>
  <w:style w:type="paragraph" w:styleId="23">
    <w:name w:val="toc 6"/>
    <w:basedOn w:val="1"/>
    <w:next w:val="1"/>
    <w:unhideWhenUsed/>
    <w:qFormat/>
    <w:uiPriority w:val="39"/>
    <w:pPr>
      <w:spacing w:line="300" w:lineRule="exact"/>
      <w:ind w:left="1049"/>
    </w:pPr>
    <w:rPr>
      <w:rFonts w:ascii="宋体"/>
    </w:rPr>
  </w:style>
  <w:style w:type="paragraph" w:styleId="24">
    <w:name w:val="table of figures"/>
    <w:basedOn w:val="1"/>
    <w:next w:val="1"/>
    <w:semiHidden/>
    <w:qFormat/>
    <w:uiPriority w:val="0"/>
    <w:rPr>
      <w:szCs w:val="24"/>
    </w:rPr>
  </w:style>
  <w:style w:type="paragraph" w:styleId="25">
    <w:name w:val="toc 2"/>
    <w:basedOn w:val="1"/>
    <w:next w:val="1"/>
    <w:unhideWhenUsed/>
    <w:qFormat/>
    <w:uiPriority w:val="39"/>
    <w:pPr>
      <w:tabs>
        <w:tab w:val="right" w:leader="dot" w:pos="9344"/>
      </w:tabs>
      <w:spacing w:line="300" w:lineRule="exact"/>
      <w:ind w:left="210"/>
    </w:pPr>
    <w:rPr>
      <w:rFonts w:ascii="宋体"/>
    </w:rPr>
  </w:style>
  <w:style w:type="paragraph" w:styleId="26">
    <w:name w:val="Normal (Web)"/>
    <w:basedOn w:val="1"/>
    <w:semiHidden/>
    <w:unhideWhenUsed/>
    <w:qFormat/>
    <w:uiPriority w:val="99"/>
    <w:pPr>
      <w:spacing w:before="100" w:beforeAutospacing="1" w:after="100" w:afterAutospacing="1"/>
    </w:pPr>
    <w:rPr>
      <w:rFonts w:ascii="宋体" w:hAnsi="宋体" w:cs="宋体"/>
      <w:kern w:val="0"/>
      <w:sz w:val="24"/>
      <w:szCs w:val="24"/>
    </w:rPr>
  </w:style>
  <w:style w:type="paragraph" w:styleId="27">
    <w:name w:val="Title"/>
    <w:basedOn w:val="1"/>
    <w:link w:val="52"/>
    <w:qFormat/>
    <w:uiPriority w:val="0"/>
    <w:pPr>
      <w:spacing w:before="240" w:after="60"/>
      <w:jc w:val="center"/>
      <w:outlineLvl w:val="0"/>
    </w:pPr>
    <w:rPr>
      <w:rFonts w:ascii="Arial" w:hAnsi="Arial" w:cs="Arial"/>
      <w:b/>
      <w:bCs/>
      <w:sz w:val="32"/>
      <w:szCs w:val="32"/>
    </w:rPr>
  </w:style>
  <w:style w:type="paragraph" w:styleId="28">
    <w:name w:val="annotation subject"/>
    <w:basedOn w:val="13"/>
    <w:next w:val="13"/>
    <w:link w:val="238"/>
    <w:semiHidden/>
    <w:unhideWhenUsed/>
    <w:qFormat/>
    <w:uiPriority w:val="99"/>
    <w:rPr>
      <w:b/>
      <w:bCs/>
    </w:rPr>
  </w:style>
  <w:style w:type="table" w:styleId="30">
    <w:name w:val="Table Grid"/>
    <w:basedOn w:val="2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2">
    <w:name w:val="Strong"/>
    <w:qFormat/>
    <w:uiPriority w:val="22"/>
    <w:rPr>
      <w:b/>
      <w:bCs/>
    </w:rPr>
  </w:style>
  <w:style w:type="character" w:styleId="33">
    <w:name w:val="page number"/>
    <w:qFormat/>
    <w:uiPriority w:val="0"/>
    <w:rPr>
      <w:rFonts w:ascii="宋体" w:hAnsi="Times New Roman" w:eastAsia="宋体"/>
      <w:sz w:val="18"/>
    </w:rPr>
  </w:style>
  <w:style w:type="character" w:styleId="34">
    <w:name w:val="Emphasis"/>
    <w:qFormat/>
    <w:uiPriority w:val="20"/>
    <w:rPr>
      <w:i/>
      <w:iCs/>
    </w:rPr>
  </w:style>
  <w:style w:type="character" w:styleId="35">
    <w:name w:val="Hyperlink"/>
    <w:qFormat/>
    <w:uiPriority w:val="99"/>
    <w:rPr>
      <w:rFonts w:ascii="宋体" w:hAnsi="Times New Roman" w:eastAsia="宋体"/>
      <w:color w:val="auto"/>
      <w:spacing w:val="0"/>
      <w:w w:val="100"/>
      <w:position w:val="0"/>
      <w:sz w:val="21"/>
      <w:u w:val="none"/>
      <w:vertAlign w:val="baseline"/>
    </w:rPr>
  </w:style>
  <w:style w:type="character" w:styleId="36">
    <w:name w:val="annotation reference"/>
    <w:basedOn w:val="31"/>
    <w:semiHidden/>
    <w:unhideWhenUsed/>
    <w:qFormat/>
    <w:uiPriority w:val="99"/>
    <w:rPr>
      <w:sz w:val="21"/>
      <w:szCs w:val="21"/>
    </w:rPr>
  </w:style>
  <w:style w:type="character" w:styleId="37">
    <w:name w:val="footnote reference"/>
    <w:semiHidden/>
    <w:qFormat/>
    <w:uiPriority w:val="0"/>
    <w:rPr>
      <w:rFonts w:ascii="宋体" w:hAnsi="宋体" w:eastAsia="宋体" w:cs="Times New Roman"/>
      <w:spacing w:val="0"/>
      <w:sz w:val="18"/>
      <w:vertAlign w:val="superscript"/>
    </w:rPr>
  </w:style>
  <w:style w:type="character" w:customStyle="1" w:styleId="38">
    <w:name w:val="标题 1 字符"/>
    <w:link w:val="2"/>
    <w:qFormat/>
    <w:uiPriority w:val="0"/>
    <w:rPr>
      <w:b/>
      <w:bCs/>
      <w:kern w:val="44"/>
      <w:sz w:val="44"/>
      <w:szCs w:val="44"/>
    </w:rPr>
  </w:style>
  <w:style w:type="character" w:customStyle="1" w:styleId="39">
    <w:name w:val="标题 2 字符"/>
    <w:link w:val="3"/>
    <w:qFormat/>
    <w:uiPriority w:val="0"/>
    <w:rPr>
      <w:rFonts w:ascii="Arial" w:hAnsi="Arial" w:eastAsia="黑体"/>
      <w:b/>
      <w:bCs/>
      <w:kern w:val="2"/>
      <w:sz w:val="32"/>
      <w:szCs w:val="32"/>
    </w:rPr>
  </w:style>
  <w:style w:type="character" w:customStyle="1" w:styleId="40">
    <w:name w:val="标题 3 字符"/>
    <w:link w:val="4"/>
    <w:qFormat/>
    <w:uiPriority w:val="0"/>
    <w:rPr>
      <w:b/>
      <w:bCs/>
      <w:kern w:val="2"/>
      <w:sz w:val="32"/>
      <w:szCs w:val="32"/>
    </w:rPr>
  </w:style>
  <w:style w:type="character" w:customStyle="1" w:styleId="41">
    <w:name w:val="标题 4 字符"/>
    <w:link w:val="5"/>
    <w:qFormat/>
    <w:uiPriority w:val="0"/>
    <w:rPr>
      <w:rFonts w:ascii="Arial" w:hAnsi="Arial" w:eastAsia="黑体"/>
      <w:b/>
      <w:bCs/>
      <w:kern w:val="2"/>
      <w:sz w:val="28"/>
      <w:szCs w:val="28"/>
    </w:rPr>
  </w:style>
  <w:style w:type="character" w:customStyle="1" w:styleId="42">
    <w:name w:val="标题 5 字符"/>
    <w:link w:val="6"/>
    <w:qFormat/>
    <w:uiPriority w:val="0"/>
    <w:rPr>
      <w:b/>
      <w:bCs/>
      <w:kern w:val="2"/>
      <w:sz w:val="28"/>
      <w:szCs w:val="28"/>
    </w:rPr>
  </w:style>
  <w:style w:type="character" w:customStyle="1" w:styleId="43">
    <w:name w:val="标题 6 字符"/>
    <w:link w:val="7"/>
    <w:qFormat/>
    <w:uiPriority w:val="0"/>
    <w:rPr>
      <w:rFonts w:ascii="Arial" w:hAnsi="Arial" w:eastAsia="黑体"/>
      <w:b/>
      <w:bCs/>
      <w:kern w:val="2"/>
      <w:sz w:val="24"/>
      <w:szCs w:val="24"/>
    </w:rPr>
  </w:style>
  <w:style w:type="character" w:customStyle="1" w:styleId="44">
    <w:name w:val="标题 7 字符"/>
    <w:link w:val="8"/>
    <w:qFormat/>
    <w:uiPriority w:val="0"/>
    <w:rPr>
      <w:b/>
      <w:bCs/>
      <w:kern w:val="2"/>
      <w:sz w:val="24"/>
      <w:szCs w:val="24"/>
    </w:rPr>
  </w:style>
  <w:style w:type="character" w:customStyle="1" w:styleId="45">
    <w:name w:val="标题 8 字符"/>
    <w:link w:val="9"/>
    <w:qFormat/>
    <w:uiPriority w:val="0"/>
    <w:rPr>
      <w:rFonts w:ascii="Arial" w:hAnsi="Arial" w:eastAsia="黑体"/>
      <w:kern w:val="2"/>
      <w:sz w:val="24"/>
      <w:szCs w:val="24"/>
    </w:rPr>
  </w:style>
  <w:style w:type="character" w:customStyle="1" w:styleId="46">
    <w:name w:val="标题 9 字符"/>
    <w:link w:val="10"/>
    <w:qFormat/>
    <w:uiPriority w:val="0"/>
    <w:rPr>
      <w:rFonts w:ascii="Arial" w:hAnsi="Arial" w:eastAsia="黑体"/>
      <w:kern w:val="2"/>
      <w:sz w:val="21"/>
      <w:szCs w:val="21"/>
    </w:rPr>
  </w:style>
  <w:style w:type="character" w:customStyle="1" w:styleId="47">
    <w:name w:val="页眉 字符"/>
    <w:link w:val="19"/>
    <w:qFormat/>
    <w:uiPriority w:val="99"/>
    <w:rPr>
      <w:kern w:val="2"/>
      <w:sz w:val="18"/>
      <w:szCs w:val="18"/>
    </w:rPr>
  </w:style>
  <w:style w:type="character" w:customStyle="1" w:styleId="48">
    <w:name w:val="页脚 字符"/>
    <w:link w:val="18"/>
    <w:qFormat/>
    <w:uiPriority w:val="99"/>
    <w:rPr>
      <w:rFonts w:ascii="宋体"/>
      <w:kern w:val="2"/>
      <w:sz w:val="18"/>
      <w:szCs w:val="18"/>
    </w:rPr>
  </w:style>
  <w:style w:type="character" w:customStyle="1" w:styleId="49">
    <w:name w:val="批注框文本 字符"/>
    <w:link w:val="17"/>
    <w:semiHidden/>
    <w:qFormat/>
    <w:uiPriority w:val="99"/>
    <w:rPr>
      <w:kern w:val="2"/>
      <w:sz w:val="18"/>
      <w:szCs w:val="18"/>
    </w:rPr>
  </w:style>
  <w:style w:type="paragraph" w:styleId="50">
    <w:name w:val="Quote"/>
    <w:basedOn w:val="1"/>
    <w:next w:val="1"/>
    <w:link w:val="51"/>
    <w:qFormat/>
    <w:uiPriority w:val="29"/>
    <w:rPr>
      <w:i/>
      <w:iCs/>
      <w:color w:val="000000"/>
    </w:rPr>
  </w:style>
  <w:style w:type="character" w:customStyle="1" w:styleId="51">
    <w:name w:val="引用 字符"/>
    <w:link w:val="50"/>
    <w:qFormat/>
    <w:uiPriority w:val="29"/>
    <w:rPr>
      <w:i/>
      <w:iCs/>
      <w:color w:val="000000"/>
      <w:kern w:val="2"/>
      <w:sz w:val="21"/>
      <w:szCs w:val="21"/>
    </w:rPr>
  </w:style>
  <w:style w:type="character" w:customStyle="1" w:styleId="52">
    <w:name w:val="标题 字符"/>
    <w:link w:val="27"/>
    <w:qFormat/>
    <w:uiPriority w:val="0"/>
    <w:rPr>
      <w:rFonts w:ascii="Arial" w:hAnsi="Arial" w:cs="Arial"/>
      <w:b/>
      <w:bCs/>
      <w:kern w:val="2"/>
      <w:sz w:val="32"/>
      <w:szCs w:val="32"/>
    </w:rPr>
  </w:style>
  <w:style w:type="paragraph" w:customStyle="1" w:styleId="53">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4">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5">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6">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7">
    <w:name w:val="标准书眉一"/>
    <w:qFormat/>
    <w:uiPriority w:val="0"/>
    <w:pPr>
      <w:jc w:val="both"/>
    </w:pPr>
    <w:rPr>
      <w:rFonts w:ascii="Times New Roman" w:hAnsi="Times New Roman" w:eastAsia="宋体" w:cs="Times New Roman"/>
      <w:lang w:val="en-US" w:eastAsia="zh-CN" w:bidi="ar-SA"/>
    </w:rPr>
  </w:style>
  <w:style w:type="paragraph" w:customStyle="1" w:styleId="58">
    <w:name w:val="标准文件_ICS"/>
    <w:basedOn w:val="1"/>
    <w:qFormat/>
    <w:uiPriority w:val="0"/>
    <w:pPr>
      <w:spacing w:line="0" w:lineRule="atLeast"/>
    </w:pPr>
    <w:rPr>
      <w:rFonts w:ascii="黑体" w:hAnsi="宋体" w:eastAsia="黑体"/>
    </w:rPr>
  </w:style>
  <w:style w:type="paragraph" w:customStyle="1" w:styleId="59">
    <w:name w:val="标准文件_标准正文"/>
    <w:basedOn w:val="1"/>
    <w:next w:val="60"/>
    <w:qFormat/>
    <w:uiPriority w:val="0"/>
    <w:pPr>
      <w:snapToGrid w:val="0"/>
      <w:ind w:firstLine="200" w:firstLineChars="200"/>
    </w:pPr>
    <w:rPr>
      <w:kern w:val="0"/>
    </w:rPr>
  </w:style>
  <w:style w:type="paragraph" w:customStyle="1" w:styleId="60">
    <w:name w:val="标准文件_段"/>
    <w:link w:val="188"/>
    <w:qFormat/>
    <w:uiPriority w:val="0"/>
    <w:pPr>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61">
    <w:name w:val="标准文件_版本"/>
    <w:basedOn w:val="59"/>
    <w:qFormat/>
    <w:uiPriority w:val="0"/>
    <w:pPr>
      <w:snapToGrid/>
      <w:ind w:firstLine="0" w:firstLineChars="0"/>
    </w:pPr>
    <w:rPr>
      <w:rFonts w:ascii="宋体" w:hAnsi="宋体"/>
      <w:kern w:val="2"/>
    </w:rPr>
  </w:style>
  <w:style w:type="paragraph" w:customStyle="1" w:styleId="62">
    <w:name w:val="标准文件_标准部门"/>
    <w:basedOn w:val="1"/>
    <w:qFormat/>
    <w:uiPriority w:val="0"/>
    <w:pPr>
      <w:jc w:val="center"/>
    </w:pPr>
    <w:rPr>
      <w:rFonts w:ascii="黑体" w:eastAsia="黑体"/>
      <w:kern w:val="0"/>
      <w:sz w:val="44"/>
    </w:rPr>
  </w:style>
  <w:style w:type="paragraph" w:customStyle="1" w:styleId="63">
    <w:name w:val="标准文件_标准代替"/>
    <w:basedOn w:val="1"/>
    <w:next w:val="1"/>
    <w:qFormat/>
    <w:uiPriority w:val="0"/>
    <w:pPr>
      <w:spacing w:line="310" w:lineRule="exact"/>
      <w:jc w:val="right"/>
    </w:pPr>
    <w:rPr>
      <w:rFonts w:ascii="宋体" w:hAnsi="宋体"/>
      <w:kern w:val="0"/>
    </w:rPr>
  </w:style>
  <w:style w:type="paragraph" w:customStyle="1" w:styleId="64">
    <w:name w:val="标准文件_标准名称标题"/>
    <w:basedOn w:val="1"/>
    <w:next w:val="1"/>
    <w:qFormat/>
    <w:uiPriority w:val="0"/>
    <w:pPr>
      <w:shd w:val="clear" w:color="FFFFFF" w:fill="FFFFFF"/>
      <w:spacing w:before="640" w:after="100"/>
      <w:jc w:val="center"/>
    </w:pPr>
    <w:rPr>
      <w:rFonts w:ascii="黑体" w:eastAsia="黑体"/>
      <w:kern w:val="0"/>
      <w:sz w:val="32"/>
    </w:rPr>
  </w:style>
  <w:style w:type="paragraph" w:customStyle="1" w:styleId="65">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6">
    <w:name w:val="标准文件_页眉偶数页"/>
    <w:basedOn w:val="65"/>
    <w:next w:val="1"/>
    <w:qFormat/>
    <w:uiPriority w:val="0"/>
    <w:pPr>
      <w:jc w:val="left"/>
    </w:pPr>
  </w:style>
  <w:style w:type="paragraph" w:customStyle="1" w:styleId="67">
    <w:name w:val="标准文件_参考文献标题"/>
    <w:basedOn w:val="1"/>
    <w:next w:val="1"/>
    <w:qFormat/>
    <w:uiPriority w:val="0"/>
    <w:pPr>
      <w:shd w:val="clear" w:color="FFFFFF" w:fill="FFFFFF"/>
      <w:spacing w:before="560" w:after="50" w:afterLines="50"/>
      <w:jc w:val="center"/>
      <w:outlineLvl w:val="0"/>
    </w:pPr>
    <w:rPr>
      <w:rFonts w:ascii="黑体" w:eastAsia="黑体"/>
      <w:kern w:val="0"/>
    </w:rPr>
  </w:style>
  <w:style w:type="paragraph" w:customStyle="1" w:styleId="68">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9">
    <w:name w:val="标准文件_二级条标题"/>
    <w:next w:val="60"/>
    <w:qFormat/>
    <w:uiPriority w:val="0"/>
    <w:pPr>
      <w:widowControl w:val="0"/>
      <w:numPr>
        <w:ilvl w:val="3"/>
        <w:numId w:val="2"/>
      </w:numPr>
      <w:spacing w:before="50" w:beforeLines="50" w:after="50" w:afterLines="50"/>
      <w:ind w:left="0"/>
      <w:jc w:val="both"/>
      <w:outlineLvl w:val="2"/>
    </w:pPr>
    <w:rPr>
      <w:rFonts w:ascii="黑体" w:hAnsi="Times New Roman" w:eastAsia="黑体" w:cs="Times New Roman"/>
      <w:sz w:val="21"/>
      <w:lang w:val="en-US" w:eastAsia="zh-CN" w:bidi="ar-SA"/>
    </w:rPr>
  </w:style>
  <w:style w:type="character" w:customStyle="1" w:styleId="70">
    <w:name w:val="标准文件_发布"/>
    <w:qFormat/>
    <w:uiPriority w:val="0"/>
    <w:rPr>
      <w:rFonts w:ascii="黑体" w:eastAsia="黑体"/>
      <w:spacing w:val="0"/>
      <w:w w:val="100"/>
      <w:position w:val="3"/>
      <w:sz w:val="28"/>
    </w:rPr>
  </w:style>
  <w:style w:type="paragraph" w:customStyle="1" w:styleId="71">
    <w:name w:val="标准文件_方框数字列项"/>
    <w:basedOn w:val="60"/>
    <w:qFormat/>
    <w:uiPriority w:val="0"/>
    <w:pPr>
      <w:numPr>
        <w:ilvl w:val="0"/>
        <w:numId w:val="3"/>
      </w:numPr>
      <w:ind w:firstLine="0" w:firstLineChars="0"/>
    </w:pPr>
  </w:style>
  <w:style w:type="paragraph" w:customStyle="1" w:styleId="72">
    <w:name w:val="标准文件_封面标准编号"/>
    <w:basedOn w:val="1"/>
    <w:next w:val="63"/>
    <w:qFormat/>
    <w:uiPriority w:val="0"/>
    <w:pPr>
      <w:spacing w:line="310" w:lineRule="exact"/>
      <w:jc w:val="right"/>
    </w:pPr>
    <w:rPr>
      <w:rFonts w:ascii="黑体" w:eastAsia="黑体"/>
      <w:kern w:val="0"/>
      <w:sz w:val="28"/>
    </w:rPr>
  </w:style>
  <w:style w:type="paragraph" w:customStyle="1" w:styleId="73">
    <w:name w:val="标准文件_封面标准分类号"/>
    <w:basedOn w:val="1"/>
    <w:qFormat/>
    <w:uiPriority w:val="0"/>
    <w:rPr>
      <w:rFonts w:ascii="黑体" w:eastAsia="黑体"/>
      <w:b/>
      <w:kern w:val="0"/>
      <w:sz w:val="28"/>
    </w:rPr>
  </w:style>
  <w:style w:type="paragraph" w:customStyle="1" w:styleId="74">
    <w:name w:val="标准文件_封面标准名称"/>
    <w:basedOn w:val="1"/>
    <w:qFormat/>
    <w:uiPriority w:val="0"/>
    <w:pPr>
      <w:jc w:val="center"/>
    </w:pPr>
    <w:rPr>
      <w:rFonts w:ascii="黑体" w:eastAsia="黑体"/>
      <w:kern w:val="0"/>
      <w:sz w:val="52"/>
    </w:rPr>
  </w:style>
  <w:style w:type="paragraph" w:customStyle="1" w:styleId="75">
    <w:name w:val="标准文件_封面标准英文名称"/>
    <w:basedOn w:val="1"/>
    <w:qFormat/>
    <w:uiPriority w:val="0"/>
    <w:pPr>
      <w:jc w:val="center"/>
    </w:pPr>
    <w:rPr>
      <w:rFonts w:ascii="黑体" w:eastAsia="黑体"/>
      <w:b/>
      <w:sz w:val="28"/>
    </w:rPr>
  </w:style>
  <w:style w:type="paragraph" w:customStyle="1" w:styleId="76">
    <w:name w:val="标准文件_封面发布日期"/>
    <w:basedOn w:val="1"/>
    <w:qFormat/>
    <w:uiPriority w:val="0"/>
    <w:pPr>
      <w:spacing w:line="310" w:lineRule="exact"/>
    </w:pPr>
    <w:rPr>
      <w:rFonts w:ascii="黑体" w:eastAsia="黑体"/>
      <w:kern w:val="0"/>
      <w:sz w:val="28"/>
    </w:rPr>
  </w:style>
  <w:style w:type="paragraph" w:customStyle="1" w:styleId="77">
    <w:name w:val="标准文件_封面密级"/>
    <w:basedOn w:val="1"/>
    <w:qFormat/>
    <w:uiPriority w:val="0"/>
    <w:rPr>
      <w:rFonts w:eastAsia="黑体"/>
      <w:sz w:val="32"/>
    </w:rPr>
  </w:style>
  <w:style w:type="paragraph" w:customStyle="1" w:styleId="78">
    <w:name w:val="标准文件_封面实施日期"/>
    <w:basedOn w:val="1"/>
    <w:qFormat/>
    <w:uiPriority w:val="0"/>
    <w:pPr>
      <w:spacing w:line="310" w:lineRule="exact"/>
      <w:jc w:val="right"/>
    </w:pPr>
    <w:rPr>
      <w:rFonts w:ascii="黑体" w:eastAsia="黑体"/>
      <w:sz w:val="28"/>
    </w:rPr>
  </w:style>
  <w:style w:type="paragraph" w:customStyle="1" w:styleId="79">
    <w:name w:val="标准文件_封面抬头"/>
    <w:basedOn w:val="60"/>
    <w:qFormat/>
    <w:uiPriority w:val="0"/>
    <w:pPr>
      <w:adjustRightInd w:val="0"/>
      <w:spacing w:line="800" w:lineRule="exact"/>
      <w:ind w:firstLine="0" w:firstLineChars="0"/>
      <w:jc w:val="distribute"/>
    </w:pPr>
    <w:rPr>
      <w:rFonts w:ascii="黑体" w:eastAsia="黑体"/>
      <w:b/>
      <w:sz w:val="64"/>
    </w:rPr>
  </w:style>
  <w:style w:type="paragraph" w:customStyle="1" w:styleId="80">
    <w:name w:val="标准文件_附录标识"/>
    <w:next w:val="60"/>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81">
    <w:name w:val="标准文件_附录表标题"/>
    <w:next w:val="60"/>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2">
    <w:name w:val="标准文件_附录一级条标题"/>
    <w:next w:val="60"/>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3">
    <w:name w:val="标准文件_附录二级条标题"/>
    <w:basedOn w:val="82"/>
    <w:next w:val="60"/>
    <w:qFormat/>
    <w:uiPriority w:val="0"/>
    <w:pPr>
      <w:widowControl/>
      <w:numPr>
        <w:ilvl w:val="2"/>
      </w:numPr>
      <w:wordWrap w:val="0"/>
      <w:overflowPunct w:val="0"/>
      <w:autoSpaceDE w:val="0"/>
      <w:autoSpaceDN w:val="0"/>
      <w:textAlignment w:val="baseline"/>
      <w:outlineLvl w:val="3"/>
    </w:pPr>
  </w:style>
  <w:style w:type="paragraph" w:customStyle="1" w:styleId="84">
    <w:name w:val="标准文件_附录公式"/>
    <w:basedOn w:val="59"/>
    <w:next w:val="59"/>
    <w:qFormat/>
    <w:uiPriority w:val="0"/>
    <w:pPr>
      <w:tabs>
        <w:tab w:val="center" w:pos="4678"/>
        <w:tab w:val="right" w:leader="middleDot" w:pos="9356"/>
      </w:tabs>
      <w:ind w:right="-51" w:firstLine="0" w:firstLineChars="0"/>
    </w:pPr>
    <w:rPr>
      <w:rFonts w:ascii="宋体" w:hAnsi="宋体"/>
    </w:rPr>
  </w:style>
  <w:style w:type="paragraph" w:customStyle="1" w:styleId="85">
    <w:name w:val="标准文件_附录三级条标题"/>
    <w:next w:val="60"/>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6">
    <w:name w:val="标准文件_附录四级条标题"/>
    <w:next w:val="60"/>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7">
    <w:name w:val="标准文件_附录图标题"/>
    <w:next w:val="60"/>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8">
    <w:name w:val="标准文件_附录五级条标题"/>
    <w:next w:val="60"/>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9">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90">
    <w:name w:val="正文文本 字符"/>
    <w:link w:val="14"/>
    <w:qFormat/>
    <w:uiPriority w:val="0"/>
    <w:rPr>
      <w:kern w:val="2"/>
      <w:sz w:val="21"/>
      <w:szCs w:val="21"/>
    </w:rPr>
  </w:style>
  <w:style w:type="paragraph" w:customStyle="1" w:styleId="91">
    <w:name w:val="标准文件_附录章标题"/>
    <w:next w:val="60"/>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2">
    <w:name w:val="标准文件_公式后的破折号"/>
    <w:basedOn w:val="60"/>
    <w:next w:val="60"/>
    <w:qFormat/>
    <w:uiPriority w:val="0"/>
    <w:pPr>
      <w:ind w:left="488" w:leftChars="200" w:hanging="289" w:hangingChars="290"/>
    </w:pPr>
  </w:style>
  <w:style w:type="paragraph" w:customStyle="1" w:styleId="93">
    <w:name w:val="标准文件_前言、引言标题"/>
    <w:next w:val="1"/>
    <w:qFormat/>
    <w:uiPriority w:val="0"/>
    <w:pPr>
      <w:numPr>
        <w:ilvl w:val="0"/>
        <w:numId w:val="8"/>
      </w:numPr>
      <w:shd w:val="clear" w:color="FFFFFF" w:fill="FFFFFF"/>
      <w:spacing w:before="850" w:after="700"/>
      <w:jc w:val="center"/>
      <w:outlineLvl w:val="0"/>
    </w:pPr>
    <w:rPr>
      <w:rFonts w:ascii="黑体" w:hAnsi="Times New Roman" w:eastAsia="黑体" w:cs="Times New Roman"/>
      <w:sz w:val="32"/>
      <w:lang w:val="en-US" w:eastAsia="zh-CN" w:bidi="ar-SA"/>
    </w:rPr>
  </w:style>
  <w:style w:type="paragraph" w:customStyle="1" w:styleId="94">
    <w:name w:val="标准文件_目次、标准名称标题"/>
    <w:basedOn w:val="93"/>
    <w:next w:val="60"/>
    <w:qFormat/>
    <w:uiPriority w:val="0"/>
    <w:pPr>
      <w:spacing w:line="460" w:lineRule="exact"/>
      <w:ind w:left="0" w:firstLine="0"/>
    </w:pPr>
  </w:style>
  <w:style w:type="paragraph" w:customStyle="1" w:styleId="95">
    <w:name w:val="标准文件_目录标题"/>
    <w:basedOn w:val="1"/>
    <w:qFormat/>
    <w:uiPriority w:val="0"/>
    <w:pPr>
      <w:spacing w:before="480" w:after="150" w:afterLines="150"/>
      <w:jc w:val="center"/>
    </w:pPr>
    <w:rPr>
      <w:rFonts w:ascii="黑体" w:eastAsia="黑体"/>
      <w:sz w:val="32"/>
    </w:rPr>
  </w:style>
  <w:style w:type="paragraph" w:customStyle="1" w:styleId="96">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7">
    <w:name w:val="标准文件_破折号列项（二级）"/>
    <w:basedOn w:val="96"/>
    <w:qFormat/>
    <w:uiPriority w:val="0"/>
    <w:pPr>
      <w:numPr>
        <w:numId w:val="10"/>
      </w:numPr>
    </w:pPr>
  </w:style>
  <w:style w:type="paragraph" w:customStyle="1" w:styleId="98">
    <w:name w:val="标准文件_三级条标题"/>
    <w:basedOn w:val="69"/>
    <w:next w:val="60"/>
    <w:qFormat/>
    <w:uiPriority w:val="0"/>
    <w:pPr>
      <w:widowControl/>
      <w:numPr>
        <w:ilvl w:val="4"/>
      </w:numPr>
      <w:outlineLvl w:val="3"/>
    </w:pPr>
  </w:style>
  <w:style w:type="character" w:customStyle="1" w:styleId="99">
    <w:name w:val="不明显参考1"/>
    <w:qFormat/>
    <w:uiPriority w:val="31"/>
    <w:rPr>
      <w:smallCaps/>
      <w:color w:val="C0504D"/>
      <w:u w:val="single"/>
    </w:rPr>
  </w:style>
  <w:style w:type="paragraph" w:customStyle="1" w:styleId="100">
    <w:name w:val="标准文件_示例后续"/>
    <w:basedOn w:val="1"/>
    <w:qFormat/>
    <w:uiPriority w:val="0"/>
    <w:pPr>
      <w:ind w:firstLine="200" w:firstLineChars="200"/>
    </w:pPr>
    <w:rPr>
      <w:sz w:val="18"/>
      <w:szCs w:val="24"/>
    </w:rPr>
  </w:style>
  <w:style w:type="paragraph" w:customStyle="1" w:styleId="101">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2">
    <w:name w:val="标准文件_四级条标题"/>
    <w:next w:val="60"/>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3">
    <w:name w:val="脚注文本 字符"/>
    <w:link w:val="22"/>
    <w:semiHidden/>
    <w:qFormat/>
    <w:uiPriority w:val="0"/>
    <w:rPr>
      <w:rFonts w:ascii="宋体"/>
      <w:kern w:val="2"/>
      <w:sz w:val="18"/>
      <w:szCs w:val="18"/>
    </w:rPr>
  </w:style>
  <w:style w:type="paragraph" w:customStyle="1" w:styleId="104">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5">
    <w:name w:val="标准文件_图表脚注"/>
    <w:basedOn w:val="1"/>
    <w:next w:val="60"/>
    <w:qFormat/>
    <w:uiPriority w:val="0"/>
    <w:pPr>
      <w:numPr>
        <w:ilvl w:val="0"/>
        <w:numId w:val="12"/>
      </w:numPr>
    </w:pPr>
    <w:rPr>
      <w:rFonts w:ascii="宋体" w:hAnsi="宋体"/>
      <w:sz w:val="18"/>
    </w:rPr>
  </w:style>
  <w:style w:type="character" w:customStyle="1" w:styleId="106">
    <w:name w:val="标准文件_图表脚注内容"/>
    <w:qFormat/>
    <w:uiPriority w:val="0"/>
    <w:rPr>
      <w:rFonts w:ascii="宋体" w:hAnsi="宋体" w:eastAsia="宋体" w:cs="Times New Roman"/>
      <w:spacing w:val="0"/>
      <w:sz w:val="18"/>
      <w:vertAlign w:val="superscript"/>
    </w:rPr>
  </w:style>
  <w:style w:type="paragraph" w:customStyle="1" w:styleId="107">
    <w:name w:val="标准文件_五级条标题"/>
    <w:next w:val="60"/>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8">
    <w:name w:val="标准文件_章标题"/>
    <w:next w:val="60"/>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9">
    <w:name w:val="标准文件_一级条标题"/>
    <w:basedOn w:val="108"/>
    <w:next w:val="60"/>
    <w:qFormat/>
    <w:uiPriority w:val="0"/>
    <w:pPr>
      <w:numPr>
        <w:ilvl w:val="2"/>
      </w:numPr>
      <w:spacing w:before="120" w:beforeLines="50" w:after="120" w:afterLines="50"/>
      <w:ind w:left="0"/>
      <w:outlineLvl w:val="1"/>
    </w:pPr>
  </w:style>
  <w:style w:type="paragraph" w:customStyle="1" w:styleId="110">
    <w:name w:val="标准文件_一致程度"/>
    <w:basedOn w:val="1"/>
    <w:qFormat/>
    <w:uiPriority w:val="0"/>
    <w:pPr>
      <w:spacing w:line="440" w:lineRule="exact"/>
      <w:jc w:val="center"/>
    </w:pPr>
    <w:rPr>
      <w:sz w:val="28"/>
    </w:rPr>
  </w:style>
  <w:style w:type="paragraph" w:customStyle="1" w:styleId="111">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2">
    <w:name w:val="标准文件_英文图表脚注"/>
    <w:basedOn w:val="59"/>
    <w:qFormat/>
    <w:uiPriority w:val="0"/>
    <w:pPr>
      <w:snapToGrid/>
      <w:ind w:left="79" w:hanging="79" w:hangingChars="80"/>
    </w:pPr>
    <w:rPr>
      <w:rFonts w:ascii="宋体" w:hAnsi="宋体"/>
    </w:rPr>
  </w:style>
  <w:style w:type="paragraph" w:customStyle="1" w:styleId="113">
    <w:name w:val="标准文件_数字编号列项（二级）"/>
    <w:qFormat/>
    <w:uiPriority w:val="0"/>
    <w:pPr>
      <w:numPr>
        <w:ilvl w:val="1"/>
        <w:numId w:val="13"/>
      </w:numPr>
      <w:tabs>
        <w:tab w:val="left" w:pos="851"/>
      </w:tabs>
      <w:jc w:val="both"/>
    </w:pPr>
    <w:rPr>
      <w:rFonts w:ascii="宋体" w:hAnsi="Times New Roman" w:eastAsia="宋体" w:cs="Times New Roman"/>
      <w:sz w:val="21"/>
      <w:lang w:val="en-US" w:eastAsia="zh-CN" w:bidi="ar-SA"/>
    </w:rPr>
  </w:style>
  <w:style w:type="paragraph" w:customStyle="1" w:styleId="114">
    <w:name w:val="标准文件_英文注："/>
    <w:basedOn w:val="1"/>
    <w:next w:val="60"/>
    <w:qFormat/>
    <w:uiPriority w:val="0"/>
    <w:pPr>
      <w:numPr>
        <w:ilvl w:val="0"/>
        <w:numId w:val="14"/>
      </w:numPr>
      <w:tabs>
        <w:tab w:val="left" w:pos="420"/>
      </w:tabs>
      <w:autoSpaceDE w:val="0"/>
      <w:autoSpaceDN w:val="0"/>
    </w:pPr>
    <w:rPr>
      <w:rFonts w:ascii="宋体" w:hAnsi="宋体"/>
      <w:kern w:val="0"/>
      <w:sz w:val="18"/>
      <w:szCs w:val="20"/>
    </w:rPr>
  </w:style>
  <w:style w:type="paragraph" w:customStyle="1" w:styleId="115">
    <w:name w:val="标准文件_英文注×："/>
    <w:basedOn w:val="1"/>
    <w:qFormat/>
    <w:uiPriority w:val="0"/>
    <w:pPr>
      <w:numPr>
        <w:ilvl w:val="0"/>
        <w:numId w:val="15"/>
      </w:numPr>
      <w:tabs>
        <w:tab w:val="left" w:pos="210"/>
      </w:tabs>
      <w:autoSpaceDE w:val="0"/>
      <w:autoSpaceDN w:val="0"/>
    </w:pPr>
    <w:rPr>
      <w:rFonts w:ascii="宋体" w:hAnsi="宋体"/>
      <w:kern w:val="0"/>
      <w:szCs w:val="20"/>
    </w:rPr>
  </w:style>
  <w:style w:type="paragraph" w:customStyle="1" w:styleId="116">
    <w:name w:val="标准文件_正文表标题"/>
    <w:next w:val="60"/>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7">
    <w:name w:val="标准文件_正文公式"/>
    <w:basedOn w:val="1"/>
    <w:next w:val="59"/>
    <w:qFormat/>
    <w:uiPriority w:val="0"/>
    <w:pPr>
      <w:tabs>
        <w:tab w:val="center" w:pos="4678"/>
        <w:tab w:val="right" w:leader="middleDot" w:pos="9356"/>
      </w:tabs>
    </w:pPr>
    <w:rPr>
      <w:rFonts w:ascii="宋体" w:hAnsi="宋体"/>
    </w:rPr>
  </w:style>
  <w:style w:type="paragraph" w:customStyle="1" w:styleId="118">
    <w:name w:val="标准文件_正文图标题"/>
    <w:next w:val="60"/>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9">
    <w:name w:val="标准文件_正文英文表标题"/>
    <w:next w:val="60"/>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20">
    <w:name w:val="标准文件_正文英文图标题"/>
    <w:next w:val="60"/>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21">
    <w:name w:val="标准文件_编号列项（三级）"/>
    <w:qFormat/>
    <w:uiPriority w:val="0"/>
    <w:pPr>
      <w:numPr>
        <w:ilvl w:val="2"/>
        <w:numId w:val="13"/>
      </w:numPr>
      <w:tabs>
        <w:tab w:val="left" w:pos="851"/>
      </w:tabs>
    </w:pPr>
    <w:rPr>
      <w:rFonts w:ascii="宋体" w:hAnsi="Times New Roman" w:eastAsia="宋体" w:cs="Times New Roman"/>
      <w:sz w:val="21"/>
      <w:lang w:val="en-US" w:eastAsia="zh-CN" w:bidi="ar-SA"/>
    </w:rPr>
  </w:style>
  <w:style w:type="paragraph" w:customStyle="1" w:styleId="122">
    <w:name w:val="二级无标题条"/>
    <w:basedOn w:val="1"/>
    <w:qFormat/>
    <w:uiPriority w:val="0"/>
    <w:pPr>
      <w:numPr>
        <w:ilvl w:val="3"/>
        <w:numId w:val="20"/>
      </w:numPr>
    </w:pPr>
    <w:rPr>
      <w:rFonts w:ascii="宋体" w:hAnsi="宋体"/>
      <w:szCs w:val="24"/>
    </w:rPr>
  </w:style>
  <w:style w:type="paragraph" w:customStyle="1" w:styleId="123">
    <w:name w:val="发布部门"/>
    <w:next w:val="60"/>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4">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5">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6">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7">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8">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9">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30">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1">
    <w:name w:val="封面正文"/>
    <w:qFormat/>
    <w:uiPriority w:val="0"/>
    <w:pPr>
      <w:jc w:val="both"/>
    </w:pPr>
    <w:rPr>
      <w:rFonts w:ascii="Times New Roman" w:hAnsi="Times New Roman" w:eastAsia="宋体" w:cs="Times New Roman"/>
      <w:lang w:val="en-US" w:eastAsia="zh-CN" w:bidi="ar-SA"/>
    </w:rPr>
  </w:style>
  <w:style w:type="paragraph" w:customStyle="1" w:styleId="132">
    <w:name w:val="附录二级无标题条"/>
    <w:basedOn w:val="1"/>
    <w:next w:val="60"/>
    <w:qFormat/>
    <w:uiPriority w:val="0"/>
    <w:pPr>
      <w:wordWrap w:val="0"/>
      <w:overflowPunct w:val="0"/>
      <w:autoSpaceDE w:val="0"/>
      <w:autoSpaceDN w:val="0"/>
      <w:textAlignment w:val="baseline"/>
      <w:outlineLvl w:val="3"/>
    </w:pPr>
    <w:rPr>
      <w:rFonts w:ascii="宋体" w:hAnsi="宋体"/>
      <w:kern w:val="21"/>
    </w:rPr>
  </w:style>
  <w:style w:type="paragraph" w:customStyle="1" w:styleId="133">
    <w:name w:val="附录三级无标题条"/>
    <w:basedOn w:val="132"/>
    <w:next w:val="60"/>
    <w:qFormat/>
    <w:uiPriority w:val="0"/>
    <w:pPr>
      <w:outlineLvl w:val="4"/>
    </w:pPr>
  </w:style>
  <w:style w:type="paragraph" w:customStyle="1" w:styleId="134">
    <w:name w:val="附录四级无标题条"/>
    <w:basedOn w:val="133"/>
    <w:next w:val="60"/>
    <w:qFormat/>
    <w:uiPriority w:val="0"/>
    <w:pPr>
      <w:outlineLvl w:val="5"/>
    </w:pPr>
  </w:style>
  <w:style w:type="paragraph" w:customStyle="1" w:styleId="135">
    <w:name w:val="附录图"/>
    <w:next w:val="60"/>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6">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7">
    <w:name w:val="附录五级无标题条"/>
    <w:basedOn w:val="134"/>
    <w:next w:val="60"/>
    <w:qFormat/>
    <w:uiPriority w:val="0"/>
    <w:pPr>
      <w:outlineLvl w:val="6"/>
    </w:pPr>
  </w:style>
  <w:style w:type="paragraph" w:customStyle="1" w:styleId="138">
    <w:name w:val="附录性质"/>
    <w:basedOn w:val="1"/>
    <w:qFormat/>
    <w:uiPriority w:val="0"/>
    <w:pPr>
      <w:jc w:val="center"/>
    </w:pPr>
    <w:rPr>
      <w:rFonts w:ascii="黑体" w:eastAsia="黑体"/>
    </w:rPr>
  </w:style>
  <w:style w:type="paragraph" w:customStyle="1" w:styleId="139">
    <w:name w:val="附录一级无标题条"/>
    <w:basedOn w:val="91"/>
    <w:next w:val="60"/>
    <w:qFormat/>
    <w:uiPriority w:val="0"/>
    <w:pPr>
      <w:autoSpaceDN w:val="0"/>
      <w:outlineLvl w:val="2"/>
    </w:pPr>
    <w:rPr>
      <w:rFonts w:ascii="宋体" w:hAnsi="宋体" w:eastAsia="宋体"/>
    </w:rPr>
  </w:style>
  <w:style w:type="character" w:customStyle="1" w:styleId="140">
    <w:name w:val="个人答复风格"/>
    <w:qFormat/>
    <w:uiPriority w:val="0"/>
    <w:rPr>
      <w:rFonts w:ascii="Arial" w:hAnsi="Arial" w:eastAsia="宋体" w:cs="Arial"/>
      <w:color w:val="auto"/>
      <w:spacing w:val="0"/>
      <w:sz w:val="20"/>
    </w:rPr>
  </w:style>
  <w:style w:type="character" w:customStyle="1" w:styleId="141">
    <w:name w:val="个人撰写风格"/>
    <w:qFormat/>
    <w:uiPriority w:val="0"/>
    <w:rPr>
      <w:rFonts w:ascii="Arial" w:hAnsi="Arial" w:eastAsia="宋体" w:cs="Arial"/>
      <w:color w:val="auto"/>
      <w:spacing w:val="0"/>
      <w:sz w:val="20"/>
    </w:rPr>
  </w:style>
  <w:style w:type="paragraph" w:customStyle="1" w:styleId="142">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3">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4">
    <w:name w:val="列项·"/>
    <w:basedOn w:val="60"/>
    <w:qFormat/>
    <w:uiPriority w:val="0"/>
    <w:pPr>
      <w:tabs>
        <w:tab w:val="left" w:pos="840"/>
      </w:tabs>
    </w:pPr>
  </w:style>
  <w:style w:type="paragraph" w:customStyle="1" w:styleId="145">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6">
    <w:name w:val="目录 21"/>
    <w:basedOn w:val="1"/>
    <w:next w:val="1"/>
    <w:semiHidden/>
    <w:qFormat/>
    <w:uiPriority w:val="0"/>
    <w:rPr>
      <w:bCs/>
      <w:iCs/>
    </w:rPr>
  </w:style>
  <w:style w:type="paragraph" w:customStyle="1" w:styleId="147">
    <w:name w:val="目录 31"/>
    <w:basedOn w:val="1"/>
    <w:next w:val="1"/>
    <w:semiHidden/>
    <w:qFormat/>
    <w:uiPriority w:val="0"/>
    <w:rPr>
      <w:rFonts w:ascii="宋体" w:hAnsi="宋体"/>
      <w:iCs/>
    </w:rPr>
  </w:style>
  <w:style w:type="paragraph" w:customStyle="1" w:styleId="148">
    <w:name w:val="目录 41"/>
    <w:basedOn w:val="1"/>
    <w:next w:val="1"/>
    <w:semiHidden/>
    <w:qFormat/>
    <w:uiPriority w:val="0"/>
  </w:style>
  <w:style w:type="paragraph" w:customStyle="1" w:styleId="149">
    <w:name w:val="目录 51"/>
    <w:basedOn w:val="1"/>
    <w:next w:val="1"/>
    <w:semiHidden/>
    <w:qFormat/>
    <w:uiPriority w:val="0"/>
    <w:rPr>
      <w:rFonts w:ascii="宋体" w:hAnsi="宋体"/>
    </w:rPr>
  </w:style>
  <w:style w:type="paragraph" w:customStyle="1" w:styleId="150">
    <w:name w:val="目录 61"/>
    <w:basedOn w:val="1"/>
    <w:next w:val="1"/>
    <w:semiHidden/>
    <w:qFormat/>
    <w:uiPriority w:val="0"/>
  </w:style>
  <w:style w:type="paragraph" w:customStyle="1" w:styleId="151">
    <w:name w:val="目录 71"/>
    <w:basedOn w:val="150"/>
    <w:semiHidden/>
    <w:qFormat/>
    <w:uiPriority w:val="0"/>
    <w:pPr>
      <w:ind w:left="1260"/>
    </w:pPr>
  </w:style>
  <w:style w:type="paragraph" w:customStyle="1" w:styleId="152">
    <w:name w:val="目录 81"/>
    <w:basedOn w:val="151"/>
    <w:semiHidden/>
    <w:qFormat/>
    <w:uiPriority w:val="0"/>
    <w:pPr>
      <w:ind w:left="1470"/>
    </w:pPr>
  </w:style>
  <w:style w:type="paragraph" w:customStyle="1" w:styleId="153">
    <w:name w:val="目录 91"/>
    <w:basedOn w:val="152"/>
    <w:semiHidden/>
    <w:qFormat/>
    <w:uiPriority w:val="0"/>
    <w:pPr>
      <w:ind w:left="1680"/>
    </w:pPr>
  </w:style>
  <w:style w:type="paragraph" w:customStyle="1" w:styleId="154">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5">
    <w:name w:val="其他发布部门"/>
    <w:basedOn w:val="123"/>
    <w:qFormat/>
    <w:uiPriority w:val="0"/>
    <w:pPr>
      <w:framePr w:wrap="around"/>
      <w:spacing w:line="0" w:lineRule="atLeast"/>
    </w:pPr>
    <w:rPr>
      <w:rFonts w:ascii="黑体" w:eastAsia="黑体"/>
      <w:b w:val="0"/>
    </w:rPr>
  </w:style>
  <w:style w:type="paragraph" w:customStyle="1" w:styleId="156">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7">
    <w:name w:val="三级无标题条"/>
    <w:basedOn w:val="1"/>
    <w:qFormat/>
    <w:uiPriority w:val="0"/>
    <w:pPr>
      <w:numPr>
        <w:ilvl w:val="4"/>
        <w:numId w:val="20"/>
      </w:numPr>
    </w:pPr>
    <w:rPr>
      <w:rFonts w:ascii="宋体" w:hAnsi="宋体"/>
      <w:szCs w:val="24"/>
    </w:rPr>
  </w:style>
  <w:style w:type="paragraph" w:customStyle="1" w:styleId="158">
    <w:name w:val="实施日期"/>
    <w:basedOn w:val="124"/>
    <w:qFormat/>
    <w:uiPriority w:val="0"/>
    <w:pPr>
      <w:framePr w:hSpace="0" w:wrap="around" w:xAlign="right"/>
      <w:jc w:val="right"/>
    </w:pPr>
  </w:style>
  <w:style w:type="paragraph" w:customStyle="1" w:styleId="159">
    <w:name w:val="四级无标题条"/>
    <w:basedOn w:val="1"/>
    <w:qFormat/>
    <w:uiPriority w:val="0"/>
    <w:pPr>
      <w:numPr>
        <w:ilvl w:val="5"/>
        <w:numId w:val="20"/>
      </w:numPr>
    </w:pPr>
    <w:rPr>
      <w:rFonts w:ascii="宋体" w:hAnsi="宋体"/>
      <w:szCs w:val="24"/>
    </w:rPr>
  </w:style>
  <w:style w:type="paragraph" w:customStyle="1" w:styleId="160">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1">
    <w:name w:val="无标题条"/>
    <w:next w:val="60"/>
    <w:qFormat/>
    <w:uiPriority w:val="0"/>
    <w:pPr>
      <w:jc w:val="both"/>
    </w:pPr>
    <w:rPr>
      <w:rFonts w:ascii="宋体" w:hAnsi="宋体" w:eastAsia="宋体" w:cs="Times New Roman"/>
      <w:sz w:val="21"/>
      <w:lang w:val="en-US" w:eastAsia="zh-CN" w:bidi="ar-SA"/>
    </w:rPr>
  </w:style>
  <w:style w:type="paragraph" w:customStyle="1" w:styleId="162">
    <w:name w:val="五级无标题条"/>
    <w:basedOn w:val="1"/>
    <w:qFormat/>
    <w:uiPriority w:val="0"/>
    <w:pPr>
      <w:numPr>
        <w:ilvl w:val="6"/>
        <w:numId w:val="20"/>
      </w:numPr>
    </w:pPr>
    <w:rPr>
      <w:szCs w:val="24"/>
    </w:rPr>
  </w:style>
  <w:style w:type="paragraph" w:customStyle="1" w:styleId="163">
    <w:name w:val="一级无标题条"/>
    <w:basedOn w:val="1"/>
    <w:qFormat/>
    <w:uiPriority w:val="0"/>
    <w:pPr>
      <w:numPr>
        <w:ilvl w:val="2"/>
        <w:numId w:val="20"/>
      </w:numPr>
      <w:spacing w:before="10" w:after="10"/>
    </w:pPr>
    <w:rPr>
      <w:rFonts w:ascii="宋体" w:hAnsi="宋体"/>
      <w:szCs w:val="24"/>
    </w:rPr>
  </w:style>
  <w:style w:type="paragraph" w:customStyle="1" w:styleId="164">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5">
    <w:name w:val="注×:后续"/>
    <w:basedOn w:val="164"/>
    <w:qFormat/>
    <w:uiPriority w:val="0"/>
    <w:pPr>
      <w:ind w:left="1406" w:leftChars="0" w:hanging="499" w:firstLineChars="0"/>
    </w:pPr>
  </w:style>
  <w:style w:type="paragraph" w:customStyle="1" w:styleId="166">
    <w:name w:val="标准文件_一级无标题"/>
    <w:basedOn w:val="109"/>
    <w:qFormat/>
    <w:uiPriority w:val="0"/>
    <w:pPr>
      <w:spacing w:before="0" w:beforeLines="0" w:after="0" w:afterLines="0"/>
      <w:outlineLvl w:val="9"/>
    </w:pPr>
    <w:rPr>
      <w:rFonts w:ascii="宋体" w:eastAsia="宋体"/>
    </w:rPr>
  </w:style>
  <w:style w:type="paragraph" w:customStyle="1" w:styleId="167">
    <w:name w:val="标准文件_五级无标题"/>
    <w:basedOn w:val="107"/>
    <w:qFormat/>
    <w:uiPriority w:val="0"/>
    <w:pPr>
      <w:spacing w:before="0" w:beforeLines="0" w:after="0" w:afterLines="0"/>
      <w:outlineLvl w:val="9"/>
    </w:pPr>
    <w:rPr>
      <w:rFonts w:ascii="宋体" w:eastAsia="宋体"/>
    </w:rPr>
  </w:style>
  <w:style w:type="paragraph" w:customStyle="1" w:styleId="168">
    <w:name w:val="标准文件_三级无标题"/>
    <w:basedOn w:val="98"/>
    <w:qFormat/>
    <w:uiPriority w:val="0"/>
    <w:pPr>
      <w:spacing w:before="0" w:beforeLines="0" w:after="0" w:afterLines="0"/>
      <w:outlineLvl w:val="9"/>
    </w:pPr>
    <w:rPr>
      <w:rFonts w:ascii="宋体" w:eastAsia="宋体"/>
    </w:rPr>
  </w:style>
  <w:style w:type="paragraph" w:customStyle="1" w:styleId="169">
    <w:name w:val="标准文件_二级无标题"/>
    <w:basedOn w:val="69"/>
    <w:qFormat/>
    <w:uiPriority w:val="0"/>
    <w:pPr>
      <w:spacing w:before="0" w:beforeLines="0" w:after="0" w:afterLines="0"/>
      <w:outlineLvl w:val="9"/>
    </w:pPr>
    <w:rPr>
      <w:rFonts w:ascii="宋体" w:eastAsia="宋体"/>
    </w:rPr>
  </w:style>
  <w:style w:type="paragraph" w:customStyle="1" w:styleId="170">
    <w:name w:val="标准_四级无标题"/>
    <w:basedOn w:val="102"/>
    <w:next w:val="60"/>
    <w:qFormat/>
    <w:uiPriority w:val="0"/>
    <w:rPr>
      <w:rFonts w:eastAsia="宋体"/>
    </w:rPr>
  </w:style>
  <w:style w:type="paragraph" w:customStyle="1" w:styleId="171">
    <w:name w:val="标准文件_四级无标题"/>
    <w:basedOn w:val="102"/>
    <w:qFormat/>
    <w:uiPriority w:val="0"/>
    <w:pPr>
      <w:spacing w:before="0" w:beforeLines="0" w:after="0" w:afterLines="0"/>
      <w:outlineLvl w:val="9"/>
    </w:pPr>
    <w:rPr>
      <w:rFonts w:ascii="宋体" w:hAnsi="黑体" w:eastAsia="宋体"/>
      <w:szCs w:val="52"/>
    </w:rPr>
  </w:style>
  <w:style w:type="paragraph" w:customStyle="1" w:styleId="172">
    <w:name w:val="标准文件_大写罗马数字编号列项"/>
    <w:basedOn w:val="60"/>
    <w:qFormat/>
    <w:uiPriority w:val="0"/>
    <w:pPr>
      <w:numPr>
        <w:ilvl w:val="0"/>
        <w:numId w:val="23"/>
      </w:numPr>
      <w:ind w:firstLine="0" w:firstLineChars="0"/>
    </w:pPr>
    <w:rPr>
      <w:rFonts w:ascii="Times New Roman" w:cs="Arial"/>
      <w:szCs w:val="28"/>
    </w:rPr>
  </w:style>
  <w:style w:type="paragraph" w:customStyle="1" w:styleId="173">
    <w:name w:val="标准文件_小写罗马数字编号列项"/>
    <w:basedOn w:val="60"/>
    <w:qFormat/>
    <w:uiPriority w:val="0"/>
    <w:pPr>
      <w:numPr>
        <w:ilvl w:val="0"/>
        <w:numId w:val="24"/>
      </w:numPr>
      <w:ind w:firstLine="0" w:firstLineChars="0"/>
    </w:pPr>
    <w:rPr>
      <w:rFonts w:cs="Arial"/>
      <w:szCs w:val="28"/>
    </w:rPr>
  </w:style>
  <w:style w:type="paragraph" w:customStyle="1" w:styleId="174">
    <w:name w:val="标准文件_附录标题"/>
    <w:basedOn w:val="80"/>
    <w:qFormat/>
    <w:uiPriority w:val="0"/>
    <w:pPr>
      <w:numPr>
        <w:numId w:val="0"/>
      </w:numPr>
      <w:spacing w:after="280"/>
      <w:outlineLvl w:val="9"/>
    </w:pPr>
  </w:style>
  <w:style w:type="paragraph" w:customStyle="1" w:styleId="175">
    <w:name w:val="标准文件_二级项"/>
    <w:qFormat/>
    <w:uiPriority w:val="0"/>
    <w:rPr>
      <w:rFonts w:ascii="宋体" w:hAnsi="Times New Roman" w:eastAsia="宋体" w:cs="Times New Roman"/>
      <w:sz w:val="21"/>
      <w:lang w:val="en-US" w:eastAsia="zh-CN" w:bidi="ar-SA"/>
    </w:rPr>
  </w:style>
  <w:style w:type="paragraph" w:customStyle="1" w:styleId="176">
    <w:name w:val="标准文件_三级项"/>
    <w:basedOn w:val="1"/>
    <w:qFormat/>
    <w:uiPriority w:val="0"/>
    <w:pPr>
      <w:numPr>
        <w:ilvl w:val="2"/>
        <w:numId w:val="21"/>
      </w:numPr>
      <w:spacing w:line="536870612" w:lineRule="auto"/>
    </w:pPr>
    <w:rPr>
      <w:rFonts w:ascii="Times New Roman" w:hAnsi="Times New Roman"/>
    </w:rPr>
  </w:style>
  <w:style w:type="paragraph" w:customStyle="1" w:styleId="177">
    <w:name w:val="图表脚注说明"/>
    <w:basedOn w:val="1"/>
    <w:next w:val="60"/>
    <w:qFormat/>
    <w:uiPriority w:val="0"/>
    <w:pPr>
      <w:numPr>
        <w:ilvl w:val="0"/>
        <w:numId w:val="25"/>
      </w:numPr>
    </w:pPr>
    <w:rPr>
      <w:rFonts w:ascii="宋体" w:hAnsi="Times New Roman"/>
      <w:sz w:val="18"/>
      <w:szCs w:val="18"/>
    </w:rPr>
  </w:style>
  <w:style w:type="paragraph" w:customStyle="1" w:styleId="178">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9">
    <w:name w:val="标准文件_索引字母"/>
    <w:next w:val="60"/>
    <w:qFormat/>
    <w:uiPriority w:val="0"/>
    <w:pPr>
      <w:jc w:val="center"/>
    </w:pPr>
    <w:rPr>
      <w:rFonts w:ascii="宋体" w:hAnsi="宋体" w:eastAsia="Times New Roman" w:cs="Times New Roman"/>
      <w:b/>
      <w:kern w:val="2"/>
      <w:sz w:val="21"/>
      <w:lang w:val="en-US" w:eastAsia="zh-CN" w:bidi="ar-SA"/>
    </w:rPr>
  </w:style>
  <w:style w:type="paragraph" w:customStyle="1" w:styleId="180">
    <w:name w:val="标准文件_附录前"/>
    <w:next w:val="60"/>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1">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2">
    <w:name w:val="标准文件_表格"/>
    <w:basedOn w:val="60"/>
    <w:qFormat/>
    <w:uiPriority w:val="0"/>
    <w:pPr>
      <w:ind w:firstLine="0" w:firstLineChars="0"/>
      <w:jc w:val="center"/>
    </w:pPr>
    <w:rPr>
      <w:sz w:val="18"/>
    </w:rPr>
  </w:style>
  <w:style w:type="paragraph" w:customStyle="1" w:styleId="183">
    <w:name w:val="标准文件_注："/>
    <w:next w:val="60"/>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4">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5">
    <w:name w:val="标准文件_示例："/>
    <w:next w:val="186"/>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6">
    <w:name w:val="标准文件_示例内容"/>
    <w:basedOn w:val="60"/>
    <w:qFormat/>
    <w:uiPriority w:val="0"/>
    <w:rPr>
      <w:sz w:val="18"/>
    </w:rPr>
  </w:style>
  <w:style w:type="paragraph" w:customStyle="1" w:styleId="187">
    <w:name w:val="标准文件_示例×："/>
    <w:basedOn w:val="1"/>
    <w:next w:val="186"/>
    <w:qFormat/>
    <w:uiPriority w:val="0"/>
    <w:pPr>
      <w:numPr>
        <w:ilvl w:val="0"/>
        <w:numId w:val="29"/>
      </w:numPr>
    </w:pPr>
    <w:rPr>
      <w:rFonts w:ascii="宋体" w:hAnsi="Times New Roman"/>
      <w:kern w:val="0"/>
      <w:sz w:val="18"/>
      <w:szCs w:val="18"/>
    </w:rPr>
  </w:style>
  <w:style w:type="character" w:customStyle="1" w:styleId="188">
    <w:name w:val="标准文件_段 Char"/>
    <w:link w:val="60"/>
    <w:qFormat/>
    <w:uiPriority w:val="0"/>
    <w:rPr>
      <w:rFonts w:ascii="宋体"/>
      <w:sz w:val="21"/>
    </w:rPr>
  </w:style>
  <w:style w:type="paragraph" w:customStyle="1" w:styleId="189">
    <w:name w:val="标准文件_表格续"/>
    <w:basedOn w:val="60"/>
    <w:next w:val="60"/>
    <w:qFormat/>
    <w:uiPriority w:val="0"/>
    <w:pPr>
      <w:jc w:val="center"/>
    </w:pPr>
    <w:rPr>
      <w:rFonts w:ascii="黑体" w:hAnsi="黑体" w:eastAsia="黑体"/>
    </w:rPr>
  </w:style>
  <w:style w:type="character" w:styleId="190">
    <w:name w:val="Placeholder Text"/>
    <w:basedOn w:val="31"/>
    <w:semiHidden/>
    <w:qFormat/>
    <w:uiPriority w:val="99"/>
    <w:rPr>
      <w:color w:val="808080"/>
    </w:rPr>
  </w:style>
  <w:style w:type="paragraph" w:customStyle="1" w:styleId="191">
    <w:name w:val="标准文件_二级项2"/>
    <w:basedOn w:val="60"/>
    <w:qFormat/>
    <w:uiPriority w:val="0"/>
    <w:pPr>
      <w:numPr>
        <w:ilvl w:val="1"/>
        <w:numId w:val="21"/>
      </w:numPr>
      <w:ind w:firstLine="0" w:firstLineChars="0"/>
    </w:pPr>
  </w:style>
  <w:style w:type="paragraph" w:customStyle="1" w:styleId="192">
    <w:name w:val="标准文件_三级项2"/>
    <w:basedOn w:val="60"/>
    <w:qFormat/>
    <w:uiPriority w:val="0"/>
    <w:pPr>
      <w:numPr>
        <w:ilvl w:val="0"/>
        <w:numId w:val="30"/>
      </w:numPr>
      <w:spacing w:line="300" w:lineRule="exact"/>
      <w:ind w:firstLineChars="0"/>
    </w:pPr>
    <w:rPr>
      <w:rFonts w:ascii="Times New Roman"/>
    </w:rPr>
  </w:style>
  <w:style w:type="paragraph" w:customStyle="1" w:styleId="193">
    <w:name w:val="标准文件_一级项2"/>
    <w:basedOn w:val="60"/>
    <w:qFormat/>
    <w:uiPriority w:val="0"/>
    <w:pPr>
      <w:numPr>
        <w:ilvl w:val="0"/>
        <w:numId w:val="31"/>
      </w:numPr>
      <w:spacing w:line="300" w:lineRule="exact"/>
      <w:ind w:firstLineChars="0"/>
    </w:pPr>
    <w:rPr>
      <w:rFonts w:ascii="Times New Roman"/>
    </w:rPr>
  </w:style>
  <w:style w:type="paragraph" w:customStyle="1" w:styleId="194">
    <w:name w:val="标准文件_提示"/>
    <w:basedOn w:val="60"/>
    <w:next w:val="60"/>
    <w:qFormat/>
    <w:uiPriority w:val="0"/>
    <w:rPr>
      <w:rFonts w:ascii="黑体" w:eastAsia="黑体"/>
    </w:rPr>
  </w:style>
  <w:style w:type="character" w:customStyle="1" w:styleId="195">
    <w:name w:val="标准文件_来源"/>
    <w:basedOn w:val="31"/>
    <w:qFormat/>
    <w:uiPriority w:val="1"/>
    <w:rPr>
      <w:rFonts w:eastAsia="宋体"/>
      <w:sz w:val="21"/>
    </w:rPr>
  </w:style>
  <w:style w:type="paragraph" w:customStyle="1" w:styleId="196">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7">
    <w:name w:val="其他发布日期"/>
    <w:basedOn w:val="124"/>
    <w:qFormat/>
    <w:uiPriority w:val="0"/>
    <w:pPr>
      <w:framePr w:w="3997" w:h="471" w:hRule="exact" w:hSpace="0" w:vSpace="181" w:wrap="around" w:vAnchor="page" w:hAnchor="page" w:x="1419" w:y="14097"/>
    </w:pPr>
  </w:style>
  <w:style w:type="paragraph" w:customStyle="1" w:styleId="198">
    <w:name w:val="其他实施日期"/>
    <w:basedOn w:val="158"/>
    <w:qFormat/>
    <w:uiPriority w:val="0"/>
    <w:pPr>
      <w:framePr w:w="3997" w:h="471" w:hRule="exact" w:vSpace="181" w:wrap="around" w:vAnchor="page" w:hAnchor="page" w:x="7089" w:y="14097"/>
    </w:pPr>
  </w:style>
  <w:style w:type="paragraph" w:customStyle="1" w:styleId="199">
    <w:name w:val="标准文件_文件编号"/>
    <w:basedOn w:val="60"/>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200">
    <w:name w:val="标准文件_替换文件编号"/>
    <w:basedOn w:val="199"/>
    <w:qFormat/>
    <w:uiPriority w:val="0"/>
    <w:pPr>
      <w:framePr/>
      <w:spacing w:before="57"/>
    </w:pPr>
    <w:rPr>
      <w:sz w:val="21"/>
    </w:rPr>
  </w:style>
  <w:style w:type="paragraph" w:customStyle="1" w:styleId="201">
    <w:name w:val="标准文件_文件名称"/>
    <w:basedOn w:val="60"/>
    <w:next w:val="60"/>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2">
    <w:name w:val="标准文件_附录图标号"/>
    <w:basedOn w:val="60"/>
    <w:next w:val="60"/>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3">
    <w:name w:val="标准文件_附录表标号"/>
    <w:basedOn w:val="60"/>
    <w:next w:val="60"/>
    <w:qFormat/>
    <w:uiPriority w:val="0"/>
    <w:pPr>
      <w:numPr>
        <w:ilvl w:val="0"/>
        <w:numId w:val="5"/>
      </w:numPr>
      <w:spacing w:line="14" w:lineRule="exact"/>
      <w:ind w:firstLine="0" w:firstLineChars="0"/>
      <w:jc w:val="center"/>
    </w:pPr>
    <w:rPr>
      <w:rFonts w:eastAsia="黑体"/>
      <w:vanish/>
      <w:sz w:val="2"/>
    </w:rPr>
  </w:style>
  <w:style w:type="paragraph" w:customStyle="1" w:styleId="204">
    <w:name w:val="标准文件_引言一级条标题"/>
    <w:basedOn w:val="60"/>
    <w:next w:val="60"/>
    <w:qFormat/>
    <w:uiPriority w:val="0"/>
    <w:pPr>
      <w:numPr>
        <w:ilvl w:val="1"/>
        <w:numId w:val="8"/>
      </w:numPr>
      <w:spacing w:before="50" w:beforeLines="50" w:after="50" w:afterLines="50"/>
      <w:ind w:firstLineChars="0"/>
    </w:pPr>
    <w:rPr>
      <w:rFonts w:ascii="黑体" w:eastAsia="黑体"/>
    </w:rPr>
  </w:style>
  <w:style w:type="paragraph" w:customStyle="1" w:styleId="205">
    <w:name w:val="标准文件_引言二级条标题"/>
    <w:basedOn w:val="60"/>
    <w:next w:val="60"/>
    <w:qFormat/>
    <w:uiPriority w:val="0"/>
    <w:pPr>
      <w:numPr>
        <w:ilvl w:val="2"/>
        <w:numId w:val="8"/>
      </w:numPr>
      <w:spacing w:before="50" w:beforeLines="50" w:after="50" w:afterLines="50"/>
      <w:ind w:firstLineChars="0"/>
    </w:pPr>
    <w:rPr>
      <w:rFonts w:ascii="黑体" w:eastAsia="黑体"/>
    </w:rPr>
  </w:style>
  <w:style w:type="paragraph" w:customStyle="1" w:styleId="206">
    <w:name w:val="标准文件_引言三级条标题"/>
    <w:basedOn w:val="60"/>
    <w:next w:val="60"/>
    <w:qFormat/>
    <w:uiPriority w:val="0"/>
    <w:pPr>
      <w:numPr>
        <w:ilvl w:val="3"/>
        <w:numId w:val="8"/>
      </w:numPr>
      <w:spacing w:before="50" w:beforeLines="50" w:after="50" w:afterLines="50"/>
      <w:ind w:firstLineChars="0"/>
    </w:pPr>
    <w:rPr>
      <w:rFonts w:ascii="黑体" w:eastAsia="黑体"/>
    </w:rPr>
  </w:style>
  <w:style w:type="paragraph" w:customStyle="1" w:styleId="207">
    <w:name w:val="标准文件_引言四级条标题"/>
    <w:basedOn w:val="60"/>
    <w:next w:val="60"/>
    <w:qFormat/>
    <w:uiPriority w:val="0"/>
    <w:pPr>
      <w:numPr>
        <w:ilvl w:val="4"/>
        <w:numId w:val="8"/>
      </w:numPr>
      <w:spacing w:before="50" w:beforeLines="50" w:after="50" w:afterLines="50"/>
      <w:ind w:firstLineChars="0"/>
    </w:pPr>
    <w:rPr>
      <w:rFonts w:ascii="黑体" w:eastAsia="黑体"/>
    </w:rPr>
  </w:style>
  <w:style w:type="paragraph" w:customStyle="1" w:styleId="208">
    <w:name w:val="标准文件_引言五级条标题"/>
    <w:basedOn w:val="60"/>
    <w:next w:val="60"/>
    <w:qFormat/>
    <w:uiPriority w:val="0"/>
    <w:pPr>
      <w:numPr>
        <w:ilvl w:val="5"/>
        <w:numId w:val="8"/>
      </w:numPr>
      <w:spacing w:before="50" w:beforeLines="50" w:after="50" w:afterLines="50"/>
      <w:ind w:firstLineChars="0"/>
    </w:pPr>
    <w:rPr>
      <w:rFonts w:ascii="黑体" w:eastAsia="黑体"/>
    </w:rPr>
  </w:style>
  <w:style w:type="paragraph" w:customStyle="1" w:styleId="209">
    <w:name w:val="标准文件_注后"/>
    <w:basedOn w:val="60"/>
    <w:qFormat/>
    <w:uiPriority w:val="0"/>
    <w:pPr>
      <w:ind w:left="811" w:firstLine="0" w:firstLineChars="0"/>
    </w:pPr>
    <w:rPr>
      <w:sz w:val="18"/>
    </w:rPr>
  </w:style>
  <w:style w:type="paragraph" w:customStyle="1" w:styleId="210">
    <w:name w:val="标准文件_注X后"/>
    <w:basedOn w:val="60"/>
    <w:qFormat/>
    <w:uiPriority w:val="0"/>
    <w:pPr>
      <w:ind w:left="811" w:firstLine="0" w:firstLineChars="0"/>
    </w:pPr>
    <w:rPr>
      <w:sz w:val="18"/>
    </w:rPr>
  </w:style>
  <w:style w:type="paragraph" w:customStyle="1" w:styleId="211">
    <w:name w:val="标准文件_示例后"/>
    <w:basedOn w:val="60"/>
    <w:qFormat/>
    <w:uiPriority w:val="0"/>
    <w:pPr>
      <w:ind w:left="964" w:firstLine="0" w:firstLineChars="0"/>
    </w:pPr>
    <w:rPr>
      <w:sz w:val="18"/>
    </w:rPr>
  </w:style>
  <w:style w:type="paragraph" w:customStyle="1" w:styleId="212">
    <w:name w:val="标准文件_示例X后"/>
    <w:basedOn w:val="60"/>
    <w:link w:val="213"/>
    <w:qFormat/>
    <w:uiPriority w:val="0"/>
    <w:pPr>
      <w:ind w:left="1049" w:firstLine="0" w:firstLineChars="0"/>
    </w:pPr>
    <w:rPr>
      <w:sz w:val="18"/>
    </w:rPr>
  </w:style>
  <w:style w:type="character" w:customStyle="1" w:styleId="213">
    <w:name w:val="标准文件_示例X后 字符"/>
    <w:basedOn w:val="188"/>
    <w:link w:val="212"/>
    <w:qFormat/>
    <w:uiPriority w:val="0"/>
    <w:rPr>
      <w:rFonts w:ascii="宋体" w:hAnsi="Times New Roman"/>
      <w:color w:val="FF0000"/>
      <w:sz w:val="18"/>
    </w:rPr>
  </w:style>
  <w:style w:type="paragraph" w:customStyle="1" w:styleId="214">
    <w:name w:val="标准文件_索引项"/>
    <w:basedOn w:val="60"/>
    <w:next w:val="60"/>
    <w:qFormat/>
    <w:uiPriority w:val="0"/>
    <w:pPr>
      <w:tabs>
        <w:tab w:val="right" w:leader="dot" w:pos="9356"/>
      </w:tabs>
      <w:ind w:left="210" w:hanging="210" w:firstLineChars="0"/>
      <w:jc w:val="left"/>
    </w:pPr>
  </w:style>
  <w:style w:type="paragraph" w:customStyle="1" w:styleId="215">
    <w:name w:val="标准文件_附录一级无标题"/>
    <w:basedOn w:val="82"/>
    <w:qFormat/>
    <w:uiPriority w:val="0"/>
    <w:pPr>
      <w:spacing w:before="0" w:beforeLines="0" w:after="0" w:afterLines="0" w:line="276" w:lineRule="auto"/>
      <w:outlineLvl w:val="9"/>
    </w:pPr>
    <w:rPr>
      <w:rFonts w:ascii="宋体" w:eastAsia="宋体"/>
    </w:rPr>
  </w:style>
  <w:style w:type="paragraph" w:customStyle="1" w:styleId="216">
    <w:name w:val="标准文件_附录二级无标题"/>
    <w:basedOn w:val="83"/>
    <w:qFormat/>
    <w:uiPriority w:val="0"/>
    <w:pPr>
      <w:spacing w:before="0" w:beforeLines="0" w:after="0" w:afterLines="0" w:line="276" w:lineRule="auto"/>
      <w:outlineLvl w:val="9"/>
    </w:pPr>
    <w:rPr>
      <w:rFonts w:ascii="宋体" w:eastAsia="宋体"/>
    </w:rPr>
  </w:style>
  <w:style w:type="paragraph" w:customStyle="1" w:styleId="217">
    <w:name w:val="标准文件_附录三级无标题"/>
    <w:basedOn w:val="85"/>
    <w:qFormat/>
    <w:uiPriority w:val="0"/>
    <w:pPr>
      <w:spacing w:before="0" w:beforeLines="0" w:after="0" w:afterLines="0" w:line="276" w:lineRule="auto"/>
      <w:outlineLvl w:val="9"/>
    </w:pPr>
    <w:rPr>
      <w:rFonts w:ascii="宋体" w:eastAsia="宋体"/>
    </w:rPr>
  </w:style>
  <w:style w:type="paragraph" w:customStyle="1" w:styleId="218">
    <w:name w:val="标准文件_附录四级无标题"/>
    <w:basedOn w:val="86"/>
    <w:qFormat/>
    <w:uiPriority w:val="0"/>
    <w:pPr>
      <w:spacing w:before="0" w:beforeLines="0" w:after="0" w:afterLines="0" w:line="276" w:lineRule="auto"/>
      <w:outlineLvl w:val="9"/>
    </w:pPr>
    <w:rPr>
      <w:rFonts w:ascii="宋体" w:eastAsia="宋体"/>
    </w:rPr>
  </w:style>
  <w:style w:type="paragraph" w:customStyle="1" w:styleId="219">
    <w:name w:val="标准文件_附录五级无标题"/>
    <w:basedOn w:val="88"/>
    <w:qFormat/>
    <w:uiPriority w:val="0"/>
    <w:pPr>
      <w:spacing w:before="0" w:beforeLines="0" w:after="0" w:afterLines="0" w:line="276" w:lineRule="auto"/>
      <w:outlineLvl w:val="9"/>
    </w:pPr>
    <w:rPr>
      <w:rFonts w:ascii="宋体" w:eastAsia="宋体"/>
    </w:rPr>
  </w:style>
  <w:style w:type="paragraph" w:customStyle="1" w:styleId="220">
    <w:name w:val="标准文件_引言一级无标题"/>
    <w:basedOn w:val="204"/>
    <w:next w:val="60"/>
    <w:qFormat/>
    <w:uiPriority w:val="0"/>
    <w:pPr>
      <w:spacing w:before="0" w:beforeLines="0" w:after="0" w:afterLines="0" w:line="276" w:lineRule="auto"/>
    </w:pPr>
    <w:rPr>
      <w:rFonts w:ascii="宋体" w:eastAsia="宋体"/>
    </w:rPr>
  </w:style>
  <w:style w:type="paragraph" w:customStyle="1" w:styleId="221">
    <w:name w:val="标准文件_引言二级无标题"/>
    <w:basedOn w:val="205"/>
    <w:next w:val="60"/>
    <w:qFormat/>
    <w:uiPriority w:val="0"/>
    <w:pPr>
      <w:spacing w:before="0" w:beforeLines="0" w:after="0" w:afterLines="0" w:line="276" w:lineRule="auto"/>
    </w:pPr>
    <w:rPr>
      <w:rFonts w:ascii="宋体" w:eastAsia="宋体"/>
    </w:rPr>
  </w:style>
  <w:style w:type="paragraph" w:customStyle="1" w:styleId="222">
    <w:name w:val="标准文件_引言三级无标题"/>
    <w:basedOn w:val="206"/>
    <w:qFormat/>
    <w:uiPriority w:val="0"/>
    <w:pPr>
      <w:spacing w:before="0" w:beforeLines="0" w:after="0" w:afterLines="0" w:line="276" w:lineRule="auto"/>
    </w:pPr>
    <w:rPr>
      <w:rFonts w:ascii="宋体" w:eastAsia="宋体"/>
    </w:rPr>
  </w:style>
  <w:style w:type="paragraph" w:customStyle="1" w:styleId="223">
    <w:name w:val="标准文件_引言四级无标题"/>
    <w:basedOn w:val="207"/>
    <w:next w:val="60"/>
    <w:qFormat/>
    <w:uiPriority w:val="0"/>
    <w:pPr>
      <w:spacing w:before="0" w:beforeLines="0" w:after="0" w:afterLines="0" w:line="276" w:lineRule="auto"/>
    </w:pPr>
    <w:rPr>
      <w:rFonts w:ascii="宋体" w:eastAsia="宋体"/>
    </w:rPr>
  </w:style>
  <w:style w:type="paragraph" w:customStyle="1" w:styleId="224">
    <w:name w:val="标准文件_引言五级无标题"/>
    <w:basedOn w:val="208"/>
    <w:next w:val="60"/>
    <w:qFormat/>
    <w:uiPriority w:val="0"/>
    <w:pPr>
      <w:spacing w:before="0" w:beforeLines="0" w:after="0" w:afterLines="0" w:line="276" w:lineRule="auto"/>
    </w:pPr>
    <w:rPr>
      <w:rFonts w:ascii="宋体" w:eastAsia="宋体"/>
    </w:rPr>
  </w:style>
  <w:style w:type="paragraph" w:customStyle="1" w:styleId="225">
    <w:name w:val="标准文件_索引标题"/>
    <w:basedOn w:val="67"/>
    <w:next w:val="60"/>
    <w:qFormat/>
    <w:uiPriority w:val="0"/>
    <w:rPr>
      <w:rFonts w:hAnsi="黑体"/>
    </w:rPr>
  </w:style>
  <w:style w:type="paragraph" w:customStyle="1" w:styleId="226">
    <w:name w:val="标准文件_脚注内容"/>
    <w:basedOn w:val="60"/>
    <w:qFormat/>
    <w:uiPriority w:val="0"/>
    <w:pPr>
      <w:ind w:left="400" w:leftChars="200" w:hanging="200" w:hangingChars="200"/>
    </w:pPr>
    <w:rPr>
      <w:sz w:val="15"/>
    </w:rPr>
  </w:style>
  <w:style w:type="paragraph" w:customStyle="1" w:styleId="227">
    <w:name w:val="标准文件_术语条一"/>
    <w:basedOn w:val="166"/>
    <w:next w:val="60"/>
    <w:qFormat/>
    <w:uiPriority w:val="0"/>
  </w:style>
  <w:style w:type="paragraph" w:customStyle="1" w:styleId="228">
    <w:name w:val="标准文件_术语条二"/>
    <w:basedOn w:val="169"/>
    <w:next w:val="60"/>
    <w:qFormat/>
    <w:uiPriority w:val="0"/>
  </w:style>
  <w:style w:type="paragraph" w:customStyle="1" w:styleId="229">
    <w:name w:val="标准文件_术语条三"/>
    <w:basedOn w:val="168"/>
    <w:next w:val="60"/>
    <w:qFormat/>
    <w:uiPriority w:val="0"/>
  </w:style>
  <w:style w:type="paragraph" w:customStyle="1" w:styleId="230">
    <w:name w:val="标准文件_术语条四"/>
    <w:basedOn w:val="171"/>
    <w:next w:val="60"/>
    <w:qFormat/>
    <w:uiPriority w:val="0"/>
  </w:style>
  <w:style w:type="paragraph" w:customStyle="1" w:styleId="231">
    <w:name w:val="标准文件_术语条五"/>
    <w:basedOn w:val="167"/>
    <w:next w:val="60"/>
    <w:qFormat/>
    <w:uiPriority w:val="0"/>
  </w:style>
  <w:style w:type="paragraph" w:customStyle="1" w:styleId="232">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3">
    <w:name w:val="发布"/>
    <w:basedOn w:val="31"/>
    <w:qFormat/>
    <w:uiPriority w:val="0"/>
    <w:rPr>
      <w:rFonts w:ascii="黑体" w:eastAsia="黑体"/>
      <w:spacing w:val="85"/>
      <w:w w:val="100"/>
      <w:position w:val="3"/>
      <w:sz w:val="28"/>
      <w:szCs w:val="28"/>
    </w:rPr>
  </w:style>
  <w:style w:type="character" w:customStyle="1" w:styleId="234">
    <w:name w:val="token"/>
    <w:basedOn w:val="31"/>
    <w:qFormat/>
    <w:uiPriority w:val="0"/>
  </w:style>
  <w:style w:type="character" w:customStyle="1" w:styleId="235">
    <w:name w:val="text_bypwf"/>
    <w:basedOn w:val="31"/>
    <w:qFormat/>
    <w:uiPriority w:val="0"/>
  </w:style>
  <w:style w:type="character" w:customStyle="1" w:styleId="236">
    <w:name w:val="fontstyle01"/>
    <w:basedOn w:val="31"/>
    <w:qFormat/>
    <w:uiPriority w:val="0"/>
    <w:rPr>
      <w:rFonts w:hint="eastAsia" w:ascii="仿宋_GB2312" w:hAnsi="仿宋_GB2312" w:eastAsia="仿宋_GB2312"/>
      <w:color w:val="000000"/>
      <w:sz w:val="32"/>
      <w:szCs w:val="32"/>
    </w:rPr>
  </w:style>
  <w:style w:type="character" w:customStyle="1" w:styleId="237">
    <w:name w:val="批注文字 字符"/>
    <w:basedOn w:val="31"/>
    <w:link w:val="13"/>
    <w:semiHidden/>
    <w:qFormat/>
    <w:uiPriority w:val="99"/>
    <w:rPr>
      <w:rFonts w:ascii="Calibri" w:hAnsi="Calibri"/>
      <w:kern w:val="2"/>
      <w:sz w:val="21"/>
      <w:szCs w:val="21"/>
    </w:rPr>
  </w:style>
  <w:style w:type="character" w:customStyle="1" w:styleId="238">
    <w:name w:val="批注主题 字符"/>
    <w:basedOn w:val="237"/>
    <w:link w:val="28"/>
    <w:semiHidden/>
    <w:qFormat/>
    <w:uiPriority w:val="99"/>
    <w:rPr>
      <w:rFonts w:ascii="Calibri" w:hAnsi="Calibri"/>
      <w:b/>
      <w:bCs/>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glossaryDocument" Target="glossary/document.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jpe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E95282C780534EED9CD8A66177945549"/>
        <w:style w:val=""/>
        <w:category>
          <w:name w:val="常规"/>
          <w:gallery w:val="placeholder"/>
        </w:category>
        <w:types>
          <w:type w:val="bbPlcHdr"/>
        </w:types>
        <w:behaviors>
          <w:behavior w:val="content"/>
        </w:behaviors>
        <w:description w:val=""/>
        <w:guid w:val="{02706F08-627A-42AA-A77E-D2B3F64DD216}"/>
      </w:docPartPr>
      <w:docPartBody>
        <w:p w14:paraId="61F6B709">
          <w:pPr>
            <w:pStyle w:val="5"/>
          </w:pPr>
          <w:r>
            <w:rPr>
              <w:rStyle w:val="4"/>
              <w:rFonts w:hint="eastAsia"/>
            </w:rPr>
            <w:t>单击或点击此处输入文字。</w:t>
          </w:r>
        </w:p>
      </w:docPartBody>
    </w:docPart>
    <w:docPart>
      <w:docPartPr>
        <w:name w:val="7D4C5B62BE3748A8A185024F36B5A74D"/>
        <w:style w:val=""/>
        <w:category>
          <w:name w:val="常规"/>
          <w:gallery w:val="placeholder"/>
        </w:category>
        <w:types>
          <w:type w:val="bbPlcHdr"/>
        </w:types>
        <w:behaviors>
          <w:behavior w:val="content"/>
        </w:behaviors>
        <w:description w:val=""/>
        <w:guid w:val="{450E8E7A-433E-486B-829D-B8742CB52972}"/>
      </w:docPartPr>
      <w:docPartBody>
        <w:p w14:paraId="28C40542">
          <w:pPr>
            <w:pStyle w:val="6"/>
          </w:pPr>
          <w:r>
            <w:rPr>
              <w:rStyle w:val="4"/>
              <w:rFonts w:hint="eastAsia"/>
            </w:rPr>
            <w:t>选择一项。</w:t>
          </w:r>
        </w:p>
      </w:docPartBody>
    </w:docPart>
    <w:docPart>
      <w:docPartPr>
        <w:name w:val="D52E28A190F340F0A425E9C3719705AE"/>
        <w:style w:val=""/>
        <w:category>
          <w:name w:val="常规"/>
          <w:gallery w:val="placeholder"/>
        </w:category>
        <w:types>
          <w:type w:val="bbPlcHdr"/>
        </w:types>
        <w:behaviors>
          <w:behavior w:val="content"/>
        </w:behaviors>
        <w:description w:val=""/>
        <w:guid w:val="{23889D5D-3C53-4131-AA22-0FA402D50C45}"/>
      </w:docPartPr>
      <w:docPartBody>
        <w:p w14:paraId="47CD1540">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5DA1"/>
    <w:rsid w:val="00056A63"/>
    <w:rsid w:val="0009483E"/>
    <w:rsid w:val="000B4DCF"/>
    <w:rsid w:val="00102DF2"/>
    <w:rsid w:val="00103B0F"/>
    <w:rsid w:val="00141C18"/>
    <w:rsid w:val="001931DF"/>
    <w:rsid w:val="001C2907"/>
    <w:rsid w:val="001F2D38"/>
    <w:rsid w:val="001F6F14"/>
    <w:rsid w:val="00217971"/>
    <w:rsid w:val="002E081F"/>
    <w:rsid w:val="00380C4A"/>
    <w:rsid w:val="003F4948"/>
    <w:rsid w:val="00430016"/>
    <w:rsid w:val="0044651A"/>
    <w:rsid w:val="00541EC3"/>
    <w:rsid w:val="00575179"/>
    <w:rsid w:val="00592170"/>
    <w:rsid w:val="00593C74"/>
    <w:rsid w:val="005F73BA"/>
    <w:rsid w:val="00647005"/>
    <w:rsid w:val="006716F7"/>
    <w:rsid w:val="0068773F"/>
    <w:rsid w:val="006A1FF2"/>
    <w:rsid w:val="006C3078"/>
    <w:rsid w:val="00775041"/>
    <w:rsid w:val="007B322D"/>
    <w:rsid w:val="00840C1D"/>
    <w:rsid w:val="00892CC9"/>
    <w:rsid w:val="008D6356"/>
    <w:rsid w:val="008E3FC3"/>
    <w:rsid w:val="00930546"/>
    <w:rsid w:val="00993BCD"/>
    <w:rsid w:val="00A109F4"/>
    <w:rsid w:val="00A53725"/>
    <w:rsid w:val="00A65DA1"/>
    <w:rsid w:val="00AA19B2"/>
    <w:rsid w:val="00B460B7"/>
    <w:rsid w:val="00B525AD"/>
    <w:rsid w:val="00B66549"/>
    <w:rsid w:val="00B72E52"/>
    <w:rsid w:val="00BB1FC2"/>
    <w:rsid w:val="00BC1248"/>
    <w:rsid w:val="00BE071E"/>
    <w:rsid w:val="00C257DF"/>
    <w:rsid w:val="00C960E1"/>
    <w:rsid w:val="00CD3141"/>
    <w:rsid w:val="00D60F98"/>
    <w:rsid w:val="00D80C4B"/>
    <w:rsid w:val="00D90FA5"/>
    <w:rsid w:val="00DC1012"/>
    <w:rsid w:val="00E53959"/>
    <w:rsid w:val="00E633B6"/>
    <w:rsid w:val="00F15660"/>
    <w:rsid w:val="00F37706"/>
    <w:rsid w:val="00F401C2"/>
    <w:rsid w:val="00FE66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E95282C780534EED9CD8A66177945549"/>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
    <w:name w:val="7D4C5B62BE3748A8A185024F36B5A74D"/>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
    <w:name w:val="D52E28A190F340F0A425E9C3719705A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FCD9870-9011-40A4-928B-6EA722DDD20D}">
  <ds:schemaRefs/>
</ds:datastoreItem>
</file>

<file path=docProps/app.xml><?xml version="1.0" encoding="utf-8"?>
<Properties xmlns="http://schemas.openxmlformats.org/officeDocument/2006/extended-properties" xmlns:vt="http://schemas.openxmlformats.org/officeDocument/2006/docPropsVTypes">
  <Template>团体标准.dotx</Template>
  <Company>PCMI</Company>
  <Pages>12</Pages>
  <Words>7453</Words>
  <Characters>7826</Characters>
  <Lines>63</Lines>
  <Paragraphs>17</Paragraphs>
  <TotalTime>2</TotalTime>
  <ScaleCrop>false</ScaleCrop>
  <LinksUpToDate>false</LinksUpToDate>
  <CharactersWithSpaces>7904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2026-06-04T07:29:00Z</dcterms:created>
  <dc:creator>admin</dc:creator>
  <dc:description>&lt;config cover="true" show_menu="true" version="1.0.0" doctype="SDKXY"&gt;_x000d_
&lt;/config&gt;</dc:description>
  <cp:lastModifiedBy>王嵩</cp:lastModifiedBy>
  <cp:lastPrinted>2026-06-12T04:39:00Z</cp:lastPrinted>
  <dcterms:modified xsi:type="dcterms:W3CDTF">2026-07-09T08:40:07Z</dcterms:modified>
  <dc:title>团体标准</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2052-12.1.0.26895</vt:lpwstr>
  </property>
  <property fmtid="{D5CDD505-2E9C-101B-9397-08002B2CF9AE}" pid="15" name="ICV">
    <vt:lpwstr>61064BEFDCBF4929AE6798CFB1602ABD_13</vt:lpwstr>
  </property>
  <property fmtid="{D5CDD505-2E9C-101B-9397-08002B2CF9AE}" pid="16" name="KSOTemplateDocerSaveRecord">
    <vt:lpwstr>eyJoZGlkIjoiNDYyNGFiOWVjNmUyNDJkMjQ4ZjU3YWM4YTY1MmJjYzMiLCJ1c2VySWQiOiIxNTgwMzA1OTc1In0=</vt:lpwstr>
  </property>
</Properties>
</file>