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0038A">
      <w:pPr>
        <w:widowControl/>
        <w:jc w:val="left"/>
        <w:rPr>
          <w:rFonts w:hint="eastAsia" w:eastAsia="黑体"/>
          <w:lang w:eastAsia="zh-CN"/>
        </w:rPr>
      </w:pPr>
      <w:bookmarkStart w:id="2" w:name="_GoBack"/>
      <w:bookmarkEnd w:id="2"/>
      <w:bookmarkStart w:id="0" w:name="_Hlk202293669"/>
      <w:bookmarkEnd w:id="0"/>
      <w:r>
        <w:rPr>
          <w:rFonts w:hint="eastAsia" w:ascii="黑体" w:hAnsi="黑体" w:eastAsia="黑体" w:cs="黑体"/>
          <w:color w:val="000000"/>
          <w:kern w:val="0"/>
          <w:sz w:val="31"/>
          <w:szCs w:val="31"/>
          <w:lang w:bidi="ar"/>
        </w:rPr>
        <w:t>附件</w:t>
      </w:r>
      <w:r>
        <w:rPr>
          <w:rFonts w:hint="eastAsia" w:ascii="黑体" w:hAnsi="黑体" w:eastAsia="黑体" w:cs="黑体"/>
          <w:color w:val="000000"/>
          <w:kern w:val="0"/>
          <w:sz w:val="31"/>
          <w:szCs w:val="31"/>
          <w:lang w:val="en-US" w:eastAsia="zh-CN" w:bidi="ar"/>
        </w:rPr>
        <w:t>6</w:t>
      </w:r>
    </w:p>
    <w:p w14:paraId="62A513A7">
      <w:pPr>
        <w:widowControl/>
        <w:jc w:val="center"/>
        <w:rPr>
          <w:rFonts w:ascii="方正小标宋简体" w:hAnsi="方正小标宋简体" w:eastAsia="方正小标宋简体" w:cs="方正小标宋简体"/>
          <w:color w:val="000000"/>
          <w:kern w:val="0"/>
          <w:sz w:val="44"/>
          <w:szCs w:val="44"/>
          <w:lang w:bidi="ar"/>
        </w:rPr>
      </w:pPr>
    </w:p>
    <w:p w14:paraId="55300E9D">
      <w:pPr>
        <w:widowControl/>
        <w:jc w:val="center"/>
        <w:rPr>
          <w:rFonts w:hint="eastAsia"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中国电力建设企业协会</w:t>
      </w:r>
      <w:r>
        <w:rPr>
          <w:rFonts w:hint="eastAsia" w:ascii="方正小标宋简体" w:hAnsi="方正小标宋简体" w:eastAsia="方正小标宋简体" w:cs="方正小标宋简体"/>
          <w:color w:val="000000"/>
          <w:kern w:val="0"/>
          <w:sz w:val="44"/>
          <w:szCs w:val="44"/>
          <w:lang w:bidi="ar"/>
        </w:rPr>
        <w:t>《燃煤发电机组</w:t>
      </w:r>
    </w:p>
    <w:p w14:paraId="48E92242">
      <w:pPr>
        <w:widowControl/>
        <w:jc w:val="center"/>
        <w:rPr>
          <w:rFonts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bidi="ar"/>
        </w:rPr>
        <w:t>深度调峰安全防范技术规范》</w:t>
      </w:r>
      <w:r>
        <w:rPr>
          <w:rFonts w:ascii="方正小标宋简体" w:hAnsi="方正小标宋简体" w:eastAsia="方正小标宋简体" w:cs="方正小标宋简体"/>
          <w:color w:val="000000"/>
          <w:kern w:val="0"/>
          <w:sz w:val="44"/>
          <w:szCs w:val="44"/>
          <w:lang w:bidi="ar"/>
        </w:rPr>
        <w:t>标准</w:t>
      </w:r>
    </w:p>
    <w:p w14:paraId="57963460">
      <w:pPr>
        <w:widowControl/>
        <w:jc w:val="center"/>
        <w:rPr>
          <w:rFonts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编制说明</w:t>
      </w:r>
    </w:p>
    <w:p w14:paraId="6C2BB9F2">
      <w:pPr>
        <w:widowControl/>
        <w:jc w:val="center"/>
        <w:rPr>
          <w:rFonts w:ascii="方正小标宋简体" w:hAnsi="方正小标宋简体" w:eastAsia="方正小标宋简体" w:cs="方正小标宋简体"/>
          <w:color w:val="000000"/>
          <w:kern w:val="0"/>
          <w:sz w:val="44"/>
          <w:szCs w:val="44"/>
          <w:lang w:bidi="ar"/>
        </w:rPr>
      </w:pPr>
    </w:p>
    <w:p w14:paraId="08FB26B1">
      <w:pPr>
        <w:widowControl/>
        <w:jc w:val="center"/>
        <w:rPr>
          <w:rFonts w:ascii="方正小标宋简体" w:hAnsi="方正小标宋简体" w:eastAsia="方正小标宋简体" w:cs="方正小标宋简体"/>
          <w:color w:val="000000"/>
          <w:kern w:val="0"/>
          <w:sz w:val="44"/>
          <w:szCs w:val="44"/>
          <w:lang w:bidi="ar"/>
        </w:rPr>
      </w:pPr>
    </w:p>
    <w:p w14:paraId="6FE6C220">
      <w:pPr>
        <w:widowControl/>
        <w:jc w:val="center"/>
        <w:rPr>
          <w:rFonts w:ascii="方正小标宋简体" w:hAnsi="方正小标宋简体" w:eastAsia="方正小标宋简体" w:cs="方正小标宋简体"/>
          <w:color w:val="000000"/>
          <w:kern w:val="0"/>
          <w:sz w:val="44"/>
          <w:szCs w:val="44"/>
          <w:lang w:bidi="ar"/>
        </w:rPr>
      </w:pPr>
    </w:p>
    <w:p w14:paraId="790EF7F7">
      <w:pPr>
        <w:widowControl/>
        <w:jc w:val="center"/>
        <w:rPr>
          <w:rFonts w:ascii="方正小标宋简体" w:hAnsi="方正小标宋简体" w:eastAsia="方正小标宋简体" w:cs="方正小标宋简体"/>
          <w:color w:val="000000"/>
          <w:kern w:val="0"/>
          <w:sz w:val="44"/>
          <w:szCs w:val="44"/>
          <w:lang w:bidi="ar"/>
        </w:rPr>
      </w:pPr>
    </w:p>
    <w:p w14:paraId="22E8770E">
      <w:pPr>
        <w:widowControl/>
        <w:jc w:val="center"/>
        <w:rPr>
          <w:rFonts w:ascii="方正小标宋简体" w:hAnsi="方正小标宋简体" w:eastAsia="方正小标宋简体" w:cs="方正小标宋简体"/>
          <w:color w:val="000000"/>
          <w:kern w:val="0"/>
          <w:sz w:val="44"/>
          <w:szCs w:val="44"/>
          <w:lang w:bidi="ar"/>
        </w:rPr>
      </w:pPr>
    </w:p>
    <w:p w14:paraId="4083C73A">
      <w:pPr>
        <w:widowControl/>
        <w:jc w:val="center"/>
        <w:rPr>
          <w:rFonts w:ascii="方正小标宋简体" w:hAnsi="方正小标宋简体" w:eastAsia="方正小标宋简体" w:cs="方正小标宋简体"/>
          <w:color w:val="000000"/>
          <w:kern w:val="0"/>
          <w:sz w:val="44"/>
          <w:szCs w:val="44"/>
          <w:lang w:bidi="ar"/>
        </w:rPr>
      </w:pPr>
    </w:p>
    <w:p w14:paraId="441E3506">
      <w:pPr>
        <w:widowControl/>
        <w:jc w:val="center"/>
        <w:rPr>
          <w:rFonts w:ascii="方正小标宋简体" w:hAnsi="方正小标宋简体" w:eastAsia="方正小标宋简体" w:cs="方正小标宋简体"/>
          <w:color w:val="000000"/>
          <w:kern w:val="0"/>
          <w:sz w:val="44"/>
          <w:szCs w:val="44"/>
          <w:lang w:bidi="ar"/>
        </w:rPr>
      </w:pPr>
    </w:p>
    <w:p w14:paraId="4B650889">
      <w:pPr>
        <w:widowControl/>
        <w:jc w:val="center"/>
        <w:rPr>
          <w:rFonts w:ascii="方正小标宋简体" w:hAnsi="方正小标宋简体" w:eastAsia="方正小标宋简体" w:cs="方正小标宋简体"/>
          <w:color w:val="000000"/>
          <w:kern w:val="0"/>
          <w:sz w:val="44"/>
          <w:szCs w:val="44"/>
          <w:lang w:bidi="ar"/>
        </w:rPr>
      </w:pPr>
    </w:p>
    <w:p w14:paraId="73310E85">
      <w:pPr>
        <w:widowControl/>
        <w:jc w:val="center"/>
        <w:rPr>
          <w:rFonts w:ascii="方正小标宋简体" w:hAnsi="方正小标宋简体" w:eastAsia="方正小标宋简体" w:cs="方正小标宋简体"/>
          <w:color w:val="000000"/>
          <w:kern w:val="0"/>
          <w:sz w:val="44"/>
          <w:szCs w:val="44"/>
          <w:lang w:bidi="ar"/>
        </w:rPr>
      </w:pPr>
    </w:p>
    <w:p w14:paraId="0496E7EE">
      <w:pPr>
        <w:widowControl/>
        <w:jc w:val="center"/>
        <w:rPr>
          <w:rFonts w:ascii="方正小标宋简体" w:hAnsi="方正小标宋简体" w:eastAsia="方正小标宋简体" w:cs="方正小标宋简体"/>
          <w:color w:val="000000"/>
          <w:kern w:val="0"/>
          <w:sz w:val="44"/>
          <w:szCs w:val="44"/>
          <w:lang w:bidi="ar"/>
        </w:rPr>
      </w:pPr>
    </w:p>
    <w:p w14:paraId="0E0FFFE5">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一、工作简况</w:t>
      </w:r>
    </w:p>
    <w:p w14:paraId="2267040E">
      <w:pPr>
        <w:pStyle w:val="14"/>
        <w:tabs>
          <w:tab w:val="left" w:pos="0"/>
        </w:tabs>
        <w:adjustRightInd w:val="0"/>
        <w:snapToGrid w:val="0"/>
        <w:spacing w:line="560" w:lineRule="exact"/>
        <w:ind w:firstLine="560"/>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1.任务来源</w:t>
      </w:r>
    </w:p>
    <w:p w14:paraId="495BEB1E">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了统一、协调相关导则的规定，规范电站燃煤机组深度调峰调试工作方法，根据《关于印发2025年第一批中国电力建设企业协会团体标准制定计划的通知》（中电建协〔2025〕131号）要求和工作安排，由南方电网电力科技股份有限公司、杭州意能电力技术有限公司、中国能源建设集团西北电力试验研究院有限公司、兰州陇能电力科技有限公司、中国能源建设集团科技发展有限公司、内蒙古能源发电投资集团有限公司电力工程技术研究院、广东红海湾发电有限公司、广东粤电靖海发电有限公司、广州华润热电有限公司、华润电力（贺州）有限公司、国网浙江省电力有限公司电力科学研究院、新疆重能电力开发有限公司、豪顿华工程有限公司作为编制单位编制《燃煤发电机组深度调峰安全防范技术规范》，计划号为能源XXX。</w:t>
      </w:r>
    </w:p>
    <w:p w14:paraId="4E0B8B24">
      <w:pPr>
        <w:pStyle w:val="14"/>
        <w:tabs>
          <w:tab w:val="left" w:pos="0"/>
        </w:tabs>
        <w:adjustRightInd w:val="0"/>
        <w:snapToGrid w:val="0"/>
        <w:spacing w:line="560" w:lineRule="exact"/>
        <w:ind w:firstLine="560"/>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2.制定背景</w:t>
      </w:r>
    </w:p>
    <w:p w14:paraId="65ABC046">
      <w:pPr>
        <w:widowControl/>
        <w:spacing w:line="560" w:lineRule="exact"/>
        <w:ind w:firstLine="560" w:firstLineChars="200"/>
        <w:rPr>
          <w:rFonts w:hAnsi="宋体"/>
          <w:sz w:val="24"/>
        </w:rPr>
      </w:pPr>
      <w:r>
        <w:rPr>
          <w:rFonts w:hint="eastAsia" w:ascii="仿宋_GB2312" w:hAnsi="仿宋_GB2312" w:eastAsia="仿宋_GB2312" w:cs="仿宋_GB2312"/>
          <w:sz w:val="28"/>
          <w:szCs w:val="28"/>
        </w:rPr>
        <w:t>2020年9月22日，习近平在第七十五届联合国大会一般性辩论上发表重要讲话，“应对气候变化《巴黎协定》代表了全球绿色低碳转型的大方向，是保护地球家园需要采取的最低限度行动，各国必须迈出决定性步伐。中国将提高国家自主贡献力度，采取更加有力的政策和措施，二氧化碳排放力争于2030年前达到峰值，努力争取2060年前实现碳中和。”习近平总书记主持“中共中央政治局就新形势下加强我国生态文明建设集体学习”时指出：实现碳达峰、碳中和“各级党委和政府要拿出抓铁有痕、踏石留印的劲头，明确时间表、路线图、施工图，推动经济社会发展建立在资源高效利用和绿色低碳发展的基础之上。”中央提出要“构建以新能源为主体的新型电力系统”，这意味着按照“3060”双碳目标要求，我国主体电源要从目前装机容量占比近一半的煤电转化为新能源电力，挑战空前，是实现创新发展、走上低碳之路的最好机遇。</w:t>
      </w:r>
    </w:p>
    <w:p w14:paraId="08FC32FF">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电力发展“十三五”规划（2016-2020年）》提出必须从负荷侧、电源侧、电网侧多措并举增强系统调峰能力，《“十四五”现代能源体系规划》统筹电力保供和减污降碳，发挥煤电机组调峰能力，提升火电机组运行灵活性。《关于开展全国煤电机组改造升级的通知》（发改运行〔2021〕1519号）再次明确存量煤电机组灵活性改造应改尽改，“十四五”期间完成灵活性改造2亿千瓦，增加系统调节能力3000-4000万千瓦，以提升消纳新能源能力；纯凝机组一般要求最小发电出力达到35%额定负荷的调峰能力，采暖热电机组在供热期要通过热电解耦力争实现单日6小时最小发电出力达到40%额定负荷的调峰能力。</w:t>
      </w:r>
    </w:p>
    <w:p w14:paraId="433F309A">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国家发改委、国家能源局关于开展全国煤电机组改造升级的通知（1519号文），要求：我国力争实现2030年前碳达峰和努力争取2060年前碳中和的目标，对优化能源结构和煤炭清洁高效利用提出了更高要求。煤电机组改造升级是提高电煤利用效率、减少电煤消耗、促进清洁能源消纳的重要手段，对推动碳达峰碳中和目标如期实现具有重要意义。各地、各企业要高度重视，将煤电机组改造升级作为一项重要工作抓好抓实抓细，切实提高煤电机组运行水平。</w:t>
      </w:r>
    </w:p>
    <w:p w14:paraId="4E3D13E3">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国家发展改革委、国家能源局联合印发了《新一代煤电升级专项行动实施方案（2025—2027年）》（以下简称《实施方案》），对燃煤机组深度调峰提出更加严格的要求。</w:t>
      </w:r>
    </w:p>
    <w:p w14:paraId="1830CE99">
      <w:pPr>
        <w:widowControl/>
        <w:spacing w:line="560" w:lineRule="exact"/>
        <w:ind w:firstLine="560" w:firstLineChars="200"/>
        <w:rPr>
          <w:rFonts w:hAnsi="宋体"/>
          <w:sz w:val="24"/>
        </w:rPr>
      </w:pPr>
      <w:r>
        <w:rPr>
          <w:rFonts w:hint="eastAsia" w:ascii="仿宋_GB2312" w:hAnsi="仿宋_GB2312" w:eastAsia="仿宋_GB2312" w:cs="仿宋_GB2312"/>
          <w:sz w:val="28"/>
          <w:szCs w:val="28"/>
        </w:rPr>
        <w:t>由于“中国将严控煤电项目”，大力发展可再生能源电力，根据我国电力发展规划，2030年可再生的风电和太阳能发电总装机容量将达到12亿千瓦以上，将成为我国最主要电源。但也有“不可控”短板：装机发电能力严重受限于昼夜日照、季节变化、天气阴晴、风力大小等自然气象条件。据报道，2019年在全国非化石能源发电量占比仅为32.6%情况下，风电和光电普遍面临并网难、消纳难、调度难等问题。因此，未来几十年，从煤电为主过渡到以新能源为主体的新型电力系统期间，作为我国电力稳定生产、供应和灵活性调节的“压舱石”，燃煤火电不可能退出电力生产，因此，如何在深度调峰下保证煤电生产更高效、清洁、低碳、灵活，成为当前需要研究和着手解决的关键技术问题，迫切需要开展燃煤机组深度调峰调试标准的制定工作。</w:t>
      </w:r>
    </w:p>
    <w:p w14:paraId="6CC1A3F2">
      <w:pPr>
        <w:pStyle w:val="14"/>
        <w:tabs>
          <w:tab w:val="left" w:pos="0"/>
        </w:tabs>
        <w:adjustRightInd w:val="0"/>
        <w:snapToGrid w:val="0"/>
        <w:spacing w:line="560" w:lineRule="exact"/>
        <w:ind w:firstLine="560"/>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3.起草过程</w:t>
      </w:r>
    </w:p>
    <w:p w14:paraId="2421DD74">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2025年11月，计划下达，确立工作总体目标，开展前期研究工作。</w:t>
      </w:r>
    </w:p>
    <w:p w14:paraId="42396523">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2025年12月17日-18日，南方电网电力科技股份有限公司、杭州意能电力技术有限公司、中国能源建设集团西北电力试验研究院有限公司、兰州陇能电力科技有限公司、中国能源建设集团科技发展有限公司、内蒙古能源发电投资集团有限公司电力工程技术研究院、广东红海湾发电有限公司、广东粤电靖海发电有限公司、广州华润热电有限公司、华润电力（贺州）有限公司、国网浙江省电力有限公司电力科学研究院、新疆重能电力开发有限公司、豪顿华工程有限公司组成的标准起草小组在洛阳市开展标准讨论会，形成标准修订草稿/大纲，并召开草稿/大纲研讨会。 </w:t>
      </w:r>
    </w:p>
    <w:p w14:paraId="2EE9B9D2">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2026年1月-4月，标准起草小组开展标准讨论会，形成标准初稿。</w:t>
      </w:r>
    </w:p>
    <w:p w14:paraId="578A796A">
      <w:pPr>
        <w:widowControl/>
        <w:spacing w:line="56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2026年6月3日-5日，在杭州组织召开标准初稿讨论会，编制组针对标准初稿编制内容进行了细致的审查与讨论，形成标准征求意见稿。</w:t>
      </w:r>
    </w:p>
    <w:p w14:paraId="65B81EDA">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二、标准编写原则，主要内容及其确定依据</w:t>
      </w:r>
    </w:p>
    <w:p w14:paraId="4F5800D0">
      <w:pPr>
        <w:pStyle w:val="14"/>
        <w:tabs>
          <w:tab w:val="left" w:pos="0"/>
        </w:tabs>
        <w:adjustRightInd w:val="0"/>
        <w:snapToGrid w:val="0"/>
        <w:spacing w:line="560" w:lineRule="exact"/>
        <w:ind w:firstLine="560"/>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1.标准编制原则</w:t>
      </w:r>
    </w:p>
    <w:p w14:paraId="23AABED5">
      <w:pPr>
        <w:widowControl/>
        <w:spacing w:line="56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标准编制的原则：电站燃煤机组深度调峰安全防范技术规范，除应符合本导则外，尚应符合国家现行有关标准的规定。</w:t>
      </w:r>
    </w:p>
    <w:p w14:paraId="783A48CE">
      <w:pPr>
        <w:pStyle w:val="14"/>
        <w:tabs>
          <w:tab w:val="left" w:pos="0"/>
        </w:tabs>
        <w:adjustRightInd w:val="0"/>
        <w:snapToGrid w:val="0"/>
        <w:spacing w:line="560" w:lineRule="exact"/>
        <w:ind w:firstLine="560"/>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2.标准主要内容</w:t>
      </w:r>
    </w:p>
    <w:p w14:paraId="5E3E973F">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本文件规定了燃煤发电机组深度调峰安全防范的基本原则、设计与现场改造、设备管理、运行监控等技术要求。</w:t>
      </w:r>
    </w:p>
    <w:p w14:paraId="12A66AD6">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本文件适用于燃煤发电机组锅炉、汽轮机、发电机及配套辅机、环保系统的深度调峰安全防范，涵盖新建机组设计、现役机组灵活性改造、深度调峰运行与检修全流程。</w:t>
      </w:r>
    </w:p>
    <w:p w14:paraId="108194FA">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本标准本规范共分6章，主要技术内容包括：</w:t>
      </w:r>
    </w:p>
    <w:p w14:paraId="3D5B1183">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（1）在第1章范围中，明确了标准的适用范围。</w:t>
      </w:r>
    </w:p>
    <w:p w14:paraId="5DAF8B6C">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（2）在第2章规范性引用文件，引用了行业相关标准。</w:t>
      </w:r>
    </w:p>
    <w:p w14:paraId="363696F0">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（3）在第3章术语和定义中，定义了标准中涉及的主要专业术语或名词。</w:t>
      </w:r>
    </w:p>
    <w:p w14:paraId="7A9FA04A">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（4）在第4章基本原则，规定了燃煤机组锅炉深度调峰安全防范总体原则和技术原则。</w:t>
      </w:r>
    </w:p>
    <w:p w14:paraId="40985458">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（5）在第5章设计与改造，规定了机组深度调峰设计和改造相关内容。</w:t>
      </w:r>
    </w:p>
    <w:p w14:paraId="70E151A5">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（6）在第6章运行监控与维护中，规定了运行和监控相关内容。</w:t>
      </w:r>
    </w:p>
    <w:p w14:paraId="50EEC53E">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（7）在第7章设备管理与检修，规定了设备检修相关内容。</w:t>
      </w:r>
    </w:p>
    <w:p w14:paraId="329A85EA">
      <w:pPr>
        <w:widowControl/>
        <w:spacing w:line="56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（8）在第8章应急管理，规定了应急管理内容。</w:t>
      </w:r>
    </w:p>
    <w:p w14:paraId="765AB0E1">
      <w:pPr>
        <w:pStyle w:val="14"/>
        <w:tabs>
          <w:tab w:val="left" w:pos="0"/>
        </w:tabs>
        <w:adjustRightInd w:val="0"/>
        <w:snapToGrid w:val="0"/>
        <w:spacing w:line="560" w:lineRule="exact"/>
        <w:ind w:firstLine="560"/>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3.标准主要内容确定依据</w:t>
      </w:r>
    </w:p>
    <w:p w14:paraId="4986DF44">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电站燃煤机组深度调峰安全防范工作，除应符合本导则外，尚应符合国家现行有关标准的规定。</w:t>
      </w:r>
    </w:p>
    <w:p w14:paraId="11CDC486">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三、试验验证的分析、综述报告，技术经济论证，预期的经济效益、社会效益和生态效益</w:t>
      </w:r>
    </w:p>
    <w:p w14:paraId="2FAEF4E3">
      <w:pPr>
        <w:widowControl/>
        <w:spacing w:line="56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本标准可填补燃煤机组深度调峰安全防范领域技术标准的空白，提出了涉及燃煤机组深度调峰安全防范的技术要求；可为今后燃煤机组调试技术的提升提供重要依据，助力新能源电力的消纳和双碳目标，具有积极的经济社会效益。</w:t>
      </w:r>
    </w:p>
    <w:p w14:paraId="76B73C21">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四、与国际、国内同类标准技术内容的对比情况，或者与测试的样品、样机的有关数据对比情况</w:t>
      </w:r>
    </w:p>
    <w:p w14:paraId="454A0AEE">
      <w:pPr>
        <w:widowControl/>
        <w:spacing w:line="560" w:lineRule="exact"/>
        <w:ind w:firstLine="560" w:firstLineChars="200"/>
        <w:rPr>
          <w:rFonts w:eastAsia="仿宋_GB2312"/>
          <w:sz w:val="32"/>
          <w:szCs w:val="32"/>
        </w:rPr>
      </w:pPr>
      <w:r>
        <w:rPr>
          <w:rFonts w:hint="eastAsia" w:ascii="仿宋_GB2312" w:hAnsi="仿宋_GB2312" w:eastAsia="仿宋_GB2312" w:cs="仿宋_GB2312"/>
          <w:sz w:val="28"/>
          <w:szCs w:val="28"/>
        </w:rPr>
        <w:t>目前没有相关的国际、国外标准，本标准未采用国际或国外先进标准。</w:t>
      </w:r>
    </w:p>
    <w:p w14:paraId="4750D1DE">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五、以国际、国内标准为基础的起草情况，以及是否合规引用或者采用相关标准，并说明未采用相关标准的原因</w:t>
      </w:r>
    </w:p>
    <w:p w14:paraId="5EAF9E28">
      <w:pPr>
        <w:widowControl/>
        <w:spacing w:line="560" w:lineRule="exact"/>
        <w:ind w:firstLine="560" w:firstLineChars="200"/>
        <w:rPr>
          <w:rFonts w:eastAsia="仿宋_GB2312"/>
          <w:sz w:val="32"/>
          <w:szCs w:val="32"/>
        </w:rPr>
      </w:pPr>
      <w:r>
        <w:rPr>
          <w:rFonts w:hint="eastAsia" w:ascii="仿宋_GB2312" w:hAnsi="仿宋_GB2312" w:eastAsia="仿宋_GB2312" w:cs="仿宋_GB2312"/>
          <w:sz w:val="28"/>
          <w:szCs w:val="28"/>
        </w:rPr>
        <w:t>未有以国际、国内标准为基础的起草情况。</w:t>
      </w:r>
    </w:p>
    <w:p w14:paraId="1C8D9498">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六、与现行法律法规、强制性标准及其他标准的关系</w:t>
      </w:r>
    </w:p>
    <w:p w14:paraId="1BAE11B0">
      <w:pPr>
        <w:widowControl/>
        <w:spacing w:line="560" w:lineRule="exact"/>
        <w:ind w:firstLine="560" w:firstLineChars="200"/>
        <w:rPr>
          <w:rFonts w:eastAsia="仿宋_GB2312"/>
          <w:sz w:val="32"/>
          <w:szCs w:val="32"/>
        </w:rPr>
      </w:pPr>
      <w:r>
        <w:rPr>
          <w:rFonts w:hint="eastAsia" w:ascii="仿宋_GB2312" w:hAnsi="仿宋_GB2312" w:eastAsia="仿宋_GB2312" w:cs="仿宋_GB2312"/>
          <w:sz w:val="28"/>
          <w:szCs w:val="28"/>
        </w:rPr>
        <w:t>标准遵守现有相关法律、法规、政策，与现行相关标准和规范协调一致。</w:t>
      </w:r>
    </w:p>
    <w:p w14:paraId="66243C2B">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七、重大分歧意见的处理经过和依据</w:t>
      </w:r>
    </w:p>
    <w:p w14:paraId="03B8B67D">
      <w:pPr>
        <w:widowControl/>
        <w:spacing w:line="560" w:lineRule="exact"/>
        <w:ind w:firstLine="560" w:firstLineChars="200"/>
        <w:rPr>
          <w:rFonts w:eastAsia="仿宋_GB2312"/>
          <w:sz w:val="32"/>
          <w:szCs w:val="32"/>
        </w:rPr>
      </w:pPr>
      <w:r>
        <w:rPr>
          <w:rFonts w:hint="eastAsia" w:ascii="仿宋_GB2312" w:hAnsi="仿宋_GB2312" w:eastAsia="仿宋_GB2312" w:cs="仿宋_GB2312"/>
          <w:sz w:val="28"/>
          <w:szCs w:val="28"/>
        </w:rPr>
        <w:t>本标准编制过程中未出现重大意见分歧。</w:t>
      </w:r>
    </w:p>
    <w:p w14:paraId="64D09E9E">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 xml:space="preserve">八、涉及专利的有关说明 </w:t>
      </w:r>
    </w:p>
    <w:p w14:paraId="000B0C4D">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本标准编制过程中，未识别出涉及专利的内容。</w:t>
      </w:r>
    </w:p>
    <w:p w14:paraId="139366C1">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九、</w:t>
      </w:r>
      <w:bookmarkStart w:id="1" w:name="OLE_LINK1"/>
      <w:r>
        <w:rPr>
          <w:rFonts w:hint="eastAsia" w:ascii="黑体" w:hAnsi="黑体" w:eastAsia="黑体" w:cs="黑体"/>
          <w:color w:val="000000"/>
          <w:kern w:val="0"/>
          <w:sz w:val="28"/>
          <w:szCs w:val="28"/>
          <w:lang w:bidi="ar"/>
        </w:rPr>
        <w:t>实施标准的要求，以及组织措施、技术措施、过渡期和实施日期等措施建议</w:t>
      </w:r>
      <w:bookmarkEnd w:id="1"/>
    </w:p>
    <w:p w14:paraId="7E3CDE29">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建议本标准批准发布后6个月内实施。贯彻实施过程中，编制组积极配合相关单位宣贯，收集实施后来自各方的意见。必要时，对标准提出修订申请。</w:t>
      </w:r>
    </w:p>
    <w:p w14:paraId="355F65E5">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十、其他应当说明的事项。（包括标准名称、主要内容、主编单位、参编单位及主要起草人等发生变更或存在无法克服困难需撤销申请情况）</w:t>
      </w:r>
    </w:p>
    <w:p w14:paraId="069251E8">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无。</w:t>
      </w:r>
    </w:p>
    <w:p w14:paraId="5EB95CC6">
      <w:pPr>
        <w:widowControl/>
        <w:spacing w:line="560" w:lineRule="exact"/>
        <w:ind w:firstLine="560" w:firstLineChars="200"/>
        <w:rPr>
          <w:rFonts w:ascii="仿宋_GB2312" w:hAnsi="仿宋_GB2312" w:eastAsia="仿宋_GB2312" w:cs="仿宋_GB2312"/>
          <w:sz w:val="28"/>
          <w:szCs w:val="28"/>
        </w:rPr>
      </w:pPr>
    </w:p>
    <w:p w14:paraId="4BE95507">
      <w:pPr>
        <w:spacing w:line="360" w:lineRule="auto"/>
        <w:ind w:firstLine="640" w:firstLineChars="200"/>
        <w:rPr>
          <w:rFonts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7C2AF5"/>
    <w:multiLevelType w:val="multilevel"/>
    <w:tmpl w:val="557C2AF5"/>
    <w:lvl w:ilvl="0" w:tentative="0">
      <w:start w:val="1"/>
      <w:numFmt w:val="decimal"/>
      <w:suff w:val="nothing"/>
      <w:lvlText w:val="图%1　"/>
      <w:lvlJc w:val="left"/>
      <w:pPr>
        <w:ind w:left="0" w:firstLine="0"/>
      </w:pPr>
      <w:rPr>
        <w:rFonts w:hint="eastAsia" w:ascii="黑体" w:hAnsi="Times New Roman" w:eastAsia="黑体"/>
        <w:b w:val="0"/>
        <w:i w:val="0"/>
        <w:sz w:val="21"/>
      </w:rPr>
    </w:lvl>
    <w:lvl w:ilvl="1" w:tentative="0">
      <w:start w:val="1"/>
      <w:numFmt w:val="decimal"/>
      <w:pStyle w:val="19"/>
      <w:suff w:val="nothing"/>
      <w:lvlText w:val="%1%2　"/>
      <w:lvlJc w:val="left"/>
      <w:pPr>
        <w:ind w:left="0" w:firstLine="0"/>
      </w:pPr>
      <w:rPr>
        <w:rFonts w:hint="default" w:ascii="Times New Roman" w:hAnsi="Times New Roman" w:eastAsia="黑体"/>
        <w:b w:val="0"/>
        <w:i w:val="0"/>
        <w:sz w:val="21"/>
      </w:rPr>
    </w:lvl>
    <w:lvl w:ilvl="2" w:tentative="0">
      <w:start w:val="1"/>
      <w:numFmt w:val="decimal"/>
      <w:pStyle w:val="21"/>
      <w:suff w:val="nothing"/>
      <w:lvlText w:val="%1%2.%3　"/>
      <w:lvlJc w:val="left"/>
      <w:pPr>
        <w:ind w:left="0" w:firstLine="0"/>
      </w:pPr>
      <w:rPr>
        <w:rFonts w:hint="default" w:ascii="Times New Roman" w:hAnsi="Times New Roman" w:eastAsia="黑体"/>
        <w:b w:val="0"/>
        <w:i w:val="0"/>
        <w:sz w:val="21"/>
      </w:rPr>
    </w:lvl>
    <w:lvl w:ilvl="3" w:tentative="0">
      <w:start w:val="1"/>
      <w:numFmt w:val="decimal"/>
      <w:pStyle w:val="23"/>
      <w:suff w:val="nothing"/>
      <w:lvlText w:val="%1%2.%3.%4　"/>
      <w:lvlJc w:val="left"/>
      <w:pPr>
        <w:ind w:left="0" w:firstLine="0"/>
      </w:pPr>
      <w:rPr>
        <w:rFonts w:hint="default" w:ascii="Times New Roman" w:hAnsi="Times New Roman" w:eastAsia="黑体"/>
        <w:b w:val="0"/>
        <w:i w:val="0"/>
        <w:sz w:val="21"/>
      </w:rPr>
    </w:lvl>
    <w:lvl w:ilvl="4" w:tentative="0">
      <w:start w:val="1"/>
      <w:numFmt w:val="decimal"/>
      <w:pStyle w:val="25"/>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wZGQyNjg2ODFhYzBlMGE4NmNkNGIwMmRkZGUyMGYifQ=="/>
  </w:docVars>
  <w:rsids>
    <w:rsidRoot w:val="00D3286D"/>
    <w:rsid w:val="00004C42"/>
    <w:rsid w:val="00030921"/>
    <w:rsid w:val="00035194"/>
    <w:rsid w:val="00065E20"/>
    <w:rsid w:val="00084EB9"/>
    <w:rsid w:val="00086A53"/>
    <w:rsid w:val="00094AC9"/>
    <w:rsid w:val="000A298D"/>
    <w:rsid w:val="00104B34"/>
    <w:rsid w:val="00131659"/>
    <w:rsid w:val="001661BA"/>
    <w:rsid w:val="00172695"/>
    <w:rsid w:val="00183A6D"/>
    <w:rsid w:val="001A1E09"/>
    <w:rsid w:val="001C5EFF"/>
    <w:rsid w:val="001D11F9"/>
    <w:rsid w:val="001D682D"/>
    <w:rsid w:val="001D7AE7"/>
    <w:rsid w:val="001E7371"/>
    <w:rsid w:val="002032CD"/>
    <w:rsid w:val="00203F00"/>
    <w:rsid w:val="00262720"/>
    <w:rsid w:val="00270106"/>
    <w:rsid w:val="0027529A"/>
    <w:rsid w:val="00286907"/>
    <w:rsid w:val="00293ABB"/>
    <w:rsid w:val="002A49AD"/>
    <w:rsid w:val="002B5B6D"/>
    <w:rsid w:val="002D3422"/>
    <w:rsid w:val="002E228A"/>
    <w:rsid w:val="002F0F1F"/>
    <w:rsid w:val="002F118F"/>
    <w:rsid w:val="00302E9C"/>
    <w:rsid w:val="003218F4"/>
    <w:rsid w:val="00340C5E"/>
    <w:rsid w:val="00354970"/>
    <w:rsid w:val="003A149D"/>
    <w:rsid w:val="003A53C0"/>
    <w:rsid w:val="003E574D"/>
    <w:rsid w:val="004062C1"/>
    <w:rsid w:val="00443020"/>
    <w:rsid w:val="00445022"/>
    <w:rsid w:val="004654FB"/>
    <w:rsid w:val="004B458D"/>
    <w:rsid w:val="004D1362"/>
    <w:rsid w:val="004E3F43"/>
    <w:rsid w:val="00514432"/>
    <w:rsid w:val="00594FBC"/>
    <w:rsid w:val="005A0967"/>
    <w:rsid w:val="005B1E09"/>
    <w:rsid w:val="005E3DF1"/>
    <w:rsid w:val="006035B5"/>
    <w:rsid w:val="006221FE"/>
    <w:rsid w:val="006375CB"/>
    <w:rsid w:val="006404E5"/>
    <w:rsid w:val="00642D98"/>
    <w:rsid w:val="00656675"/>
    <w:rsid w:val="00666DB8"/>
    <w:rsid w:val="006C319F"/>
    <w:rsid w:val="006E2B04"/>
    <w:rsid w:val="006F46B6"/>
    <w:rsid w:val="00700458"/>
    <w:rsid w:val="00746B19"/>
    <w:rsid w:val="007B2395"/>
    <w:rsid w:val="007B3444"/>
    <w:rsid w:val="007B4A91"/>
    <w:rsid w:val="007C3CDA"/>
    <w:rsid w:val="007C5F55"/>
    <w:rsid w:val="007D34B1"/>
    <w:rsid w:val="007F320F"/>
    <w:rsid w:val="00874444"/>
    <w:rsid w:val="008840E8"/>
    <w:rsid w:val="008856EC"/>
    <w:rsid w:val="008A4B69"/>
    <w:rsid w:val="008A7BA6"/>
    <w:rsid w:val="008B30B2"/>
    <w:rsid w:val="008E2053"/>
    <w:rsid w:val="009008C2"/>
    <w:rsid w:val="00907896"/>
    <w:rsid w:val="00921CDB"/>
    <w:rsid w:val="00925A81"/>
    <w:rsid w:val="009603B2"/>
    <w:rsid w:val="0096183C"/>
    <w:rsid w:val="00966770"/>
    <w:rsid w:val="009D344E"/>
    <w:rsid w:val="00A073D6"/>
    <w:rsid w:val="00A249DA"/>
    <w:rsid w:val="00A278DD"/>
    <w:rsid w:val="00A4404E"/>
    <w:rsid w:val="00A66044"/>
    <w:rsid w:val="00A95DFF"/>
    <w:rsid w:val="00AC2BAA"/>
    <w:rsid w:val="00AF6A97"/>
    <w:rsid w:val="00AF73D3"/>
    <w:rsid w:val="00B13551"/>
    <w:rsid w:val="00B21612"/>
    <w:rsid w:val="00B22734"/>
    <w:rsid w:val="00B26356"/>
    <w:rsid w:val="00B372F6"/>
    <w:rsid w:val="00B51B57"/>
    <w:rsid w:val="00B73E71"/>
    <w:rsid w:val="00B80425"/>
    <w:rsid w:val="00B81785"/>
    <w:rsid w:val="00B94263"/>
    <w:rsid w:val="00BC4EFE"/>
    <w:rsid w:val="00BD1A71"/>
    <w:rsid w:val="00BE3CDF"/>
    <w:rsid w:val="00C03430"/>
    <w:rsid w:val="00C17EA0"/>
    <w:rsid w:val="00C770D0"/>
    <w:rsid w:val="00D11314"/>
    <w:rsid w:val="00D15524"/>
    <w:rsid w:val="00D3286D"/>
    <w:rsid w:val="00D3746F"/>
    <w:rsid w:val="00D65B3D"/>
    <w:rsid w:val="00D86636"/>
    <w:rsid w:val="00D96CE5"/>
    <w:rsid w:val="00DA5253"/>
    <w:rsid w:val="00DC16BA"/>
    <w:rsid w:val="00E0221A"/>
    <w:rsid w:val="00E17413"/>
    <w:rsid w:val="00E351F4"/>
    <w:rsid w:val="00E43A35"/>
    <w:rsid w:val="00E77008"/>
    <w:rsid w:val="00E8499C"/>
    <w:rsid w:val="00E95163"/>
    <w:rsid w:val="00ED103B"/>
    <w:rsid w:val="00ED43D6"/>
    <w:rsid w:val="00EE046B"/>
    <w:rsid w:val="00EF584F"/>
    <w:rsid w:val="00F26C7E"/>
    <w:rsid w:val="00F50BD5"/>
    <w:rsid w:val="00F57BAF"/>
    <w:rsid w:val="00F65D47"/>
    <w:rsid w:val="00F93BD0"/>
    <w:rsid w:val="00FB3551"/>
    <w:rsid w:val="01191450"/>
    <w:rsid w:val="015D0D5E"/>
    <w:rsid w:val="01717BE7"/>
    <w:rsid w:val="018856AF"/>
    <w:rsid w:val="01FE73ED"/>
    <w:rsid w:val="023E327A"/>
    <w:rsid w:val="02871FB4"/>
    <w:rsid w:val="03086407"/>
    <w:rsid w:val="04477AA3"/>
    <w:rsid w:val="04657F2A"/>
    <w:rsid w:val="049D67AE"/>
    <w:rsid w:val="09EA33AB"/>
    <w:rsid w:val="09ED2E9B"/>
    <w:rsid w:val="0B36691F"/>
    <w:rsid w:val="0B5A630E"/>
    <w:rsid w:val="0E0D58BA"/>
    <w:rsid w:val="0E323572"/>
    <w:rsid w:val="0E3270CE"/>
    <w:rsid w:val="0F6565D0"/>
    <w:rsid w:val="104F2147"/>
    <w:rsid w:val="11D30BC8"/>
    <w:rsid w:val="11DF756D"/>
    <w:rsid w:val="13115BD4"/>
    <w:rsid w:val="13131346"/>
    <w:rsid w:val="137141F5"/>
    <w:rsid w:val="1427103E"/>
    <w:rsid w:val="17F75DE9"/>
    <w:rsid w:val="1B73264D"/>
    <w:rsid w:val="1F0B3750"/>
    <w:rsid w:val="20886144"/>
    <w:rsid w:val="263A2B6C"/>
    <w:rsid w:val="28A013AD"/>
    <w:rsid w:val="2B0F6376"/>
    <w:rsid w:val="2C212804"/>
    <w:rsid w:val="30DD2D9E"/>
    <w:rsid w:val="31A765F3"/>
    <w:rsid w:val="31B92EF6"/>
    <w:rsid w:val="346905A1"/>
    <w:rsid w:val="35386E11"/>
    <w:rsid w:val="35D112E4"/>
    <w:rsid w:val="379A346B"/>
    <w:rsid w:val="37A92485"/>
    <w:rsid w:val="3C790143"/>
    <w:rsid w:val="3D5F5B26"/>
    <w:rsid w:val="3E1F291C"/>
    <w:rsid w:val="3E7F0194"/>
    <w:rsid w:val="3E9B1F29"/>
    <w:rsid w:val="3F7D6D31"/>
    <w:rsid w:val="40477411"/>
    <w:rsid w:val="40F63E08"/>
    <w:rsid w:val="42241D3D"/>
    <w:rsid w:val="45591AC6"/>
    <w:rsid w:val="48945CB4"/>
    <w:rsid w:val="48F24BB4"/>
    <w:rsid w:val="4A410A06"/>
    <w:rsid w:val="4D1C1789"/>
    <w:rsid w:val="4DB05E50"/>
    <w:rsid w:val="53581187"/>
    <w:rsid w:val="53AD500A"/>
    <w:rsid w:val="545F186C"/>
    <w:rsid w:val="564E64E5"/>
    <w:rsid w:val="57763155"/>
    <w:rsid w:val="58B54151"/>
    <w:rsid w:val="5BF907F8"/>
    <w:rsid w:val="5CD56B70"/>
    <w:rsid w:val="5D0B07E3"/>
    <w:rsid w:val="5D86653D"/>
    <w:rsid w:val="5E463E9A"/>
    <w:rsid w:val="601B0D3D"/>
    <w:rsid w:val="60D14514"/>
    <w:rsid w:val="64034678"/>
    <w:rsid w:val="6571175B"/>
    <w:rsid w:val="659547A6"/>
    <w:rsid w:val="669C2263"/>
    <w:rsid w:val="69165F4D"/>
    <w:rsid w:val="6BC24763"/>
    <w:rsid w:val="6C89702F"/>
    <w:rsid w:val="6DD10C8D"/>
    <w:rsid w:val="6EB00B67"/>
    <w:rsid w:val="6FE56C72"/>
    <w:rsid w:val="748C3B60"/>
    <w:rsid w:val="75907680"/>
    <w:rsid w:val="78051F90"/>
    <w:rsid w:val="78DE02DA"/>
    <w:rsid w:val="7EC643B8"/>
    <w:rsid w:val="7F6D4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pPr>
      <w:jc w:val="left"/>
    </w:pPr>
  </w:style>
  <w:style w:type="paragraph" w:styleId="3">
    <w:name w:val="Balloon Text"/>
    <w:basedOn w:val="1"/>
    <w:link w:val="29"/>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link w:val="13"/>
    <w:qFormat/>
    <w:uiPriority w:val="0"/>
    <w:pPr>
      <w:spacing w:before="240" w:after="60" w:line="288" w:lineRule="auto"/>
      <w:jc w:val="center"/>
      <w:outlineLvl w:val="0"/>
    </w:pPr>
    <w:rPr>
      <w:rFonts w:ascii="Arial" w:hAnsi="Arial"/>
      <w:b/>
      <w:bCs/>
      <w:sz w:val="32"/>
      <w:szCs w:val="32"/>
    </w:rPr>
  </w:style>
  <w:style w:type="paragraph" w:styleId="7">
    <w:name w:val="annotation subject"/>
    <w:basedOn w:val="2"/>
    <w:next w:val="2"/>
    <w:link w:val="31"/>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rFonts w:ascii="Times New Roman" w:hAnsi="Times New Roman" w:eastAsia="宋体" w:cs="Times New Roman"/>
      <w:sz w:val="18"/>
      <w:szCs w:val="18"/>
    </w:rPr>
  </w:style>
  <w:style w:type="character" w:customStyle="1" w:styleId="12">
    <w:name w:val="页脚 字符"/>
    <w:basedOn w:val="9"/>
    <w:link w:val="4"/>
    <w:qFormat/>
    <w:uiPriority w:val="99"/>
    <w:rPr>
      <w:rFonts w:ascii="Times New Roman" w:hAnsi="Times New Roman" w:eastAsia="宋体" w:cs="Times New Roman"/>
      <w:sz w:val="18"/>
      <w:szCs w:val="18"/>
    </w:rPr>
  </w:style>
  <w:style w:type="character" w:customStyle="1" w:styleId="13">
    <w:name w:val="标题 字符"/>
    <w:basedOn w:val="9"/>
    <w:link w:val="6"/>
    <w:qFormat/>
    <w:uiPriority w:val="0"/>
    <w:rPr>
      <w:rFonts w:ascii="Arial" w:hAnsi="Arial" w:eastAsia="宋体" w:cs="Times New Roman"/>
      <w:b/>
      <w:bCs/>
      <w:kern w:val="2"/>
      <w:sz w:val="32"/>
      <w:szCs w:val="32"/>
    </w:rPr>
  </w:style>
  <w:style w:type="paragraph" w:styleId="14">
    <w:name w:val="List Paragraph"/>
    <w:basedOn w:val="1"/>
    <w:unhideWhenUsed/>
    <w:qFormat/>
    <w:uiPriority w:val="99"/>
    <w:pPr>
      <w:ind w:firstLine="420" w:firstLineChars="200"/>
    </w:pPr>
  </w:style>
  <w:style w:type="paragraph" w:customStyle="1" w:styleId="15">
    <w:name w:val="段"/>
    <w:link w:val="27"/>
    <w:qFormat/>
    <w:uiPriority w:val="0"/>
    <w:pPr>
      <w:autoSpaceDE w:val="0"/>
      <w:autoSpaceDN w:val="0"/>
      <w:ind w:firstLine="200" w:firstLineChars="200"/>
      <w:jc w:val="both"/>
    </w:pPr>
    <w:rPr>
      <w:rFonts w:ascii="宋体" w:hAnsi="宋体" w:eastAsia="宋体" w:cstheme="minorBidi"/>
      <w:kern w:val="2"/>
      <w:sz w:val="21"/>
      <w:szCs w:val="22"/>
      <w:lang w:val="en-US" w:eastAsia="zh-CN" w:bidi="ar-SA"/>
    </w:rPr>
  </w:style>
  <w:style w:type="paragraph" w:customStyle="1" w:styleId="16">
    <w:name w:val="标准文件_段"/>
    <w:link w:val="1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标准文件_段 Char"/>
    <w:link w:val="16"/>
    <w:qFormat/>
    <w:uiPriority w:val="0"/>
    <w:rPr>
      <w:rFonts w:ascii="宋体" w:hAnsi="Times New Roman" w:eastAsia="宋体" w:cs="Times New Roman"/>
      <w:sz w:val="21"/>
    </w:rPr>
  </w:style>
  <w:style w:type="paragraph" w:customStyle="1" w:styleId="18">
    <w:name w:val="标准文件_正文图标题"/>
    <w:next w:val="16"/>
    <w:qFormat/>
    <w:uiPriority w:val="0"/>
    <w:pPr>
      <w:spacing w:before="50" w:beforeLines="50" w:after="50" w:afterLines="50"/>
      <w:jc w:val="center"/>
    </w:pPr>
    <w:rPr>
      <w:rFonts w:ascii="黑体" w:hAnsi="Times New Roman" w:eastAsia="黑体" w:cs="Times New Roman"/>
      <w:sz w:val="21"/>
      <w:lang w:val="en-US" w:eastAsia="zh-CN" w:bidi="ar-SA"/>
    </w:rPr>
  </w:style>
  <w:style w:type="paragraph" w:customStyle="1" w:styleId="19">
    <w:name w:val="样式 1"/>
    <w:basedOn w:val="14"/>
    <w:link w:val="20"/>
    <w:qFormat/>
    <w:uiPriority w:val="0"/>
    <w:pPr>
      <w:numPr>
        <w:ilvl w:val="1"/>
        <w:numId w:val="1"/>
      </w:numPr>
      <w:spacing w:line="360" w:lineRule="auto"/>
      <w:ind w:firstLineChars="0"/>
      <w:outlineLvl w:val="2"/>
    </w:pPr>
    <w:rPr>
      <w:rFonts w:eastAsia="黑体"/>
      <w:b/>
      <w:bCs/>
      <w:sz w:val="28"/>
      <w:szCs w:val="28"/>
    </w:rPr>
  </w:style>
  <w:style w:type="character" w:customStyle="1" w:styleId="20">
    <w:name w:val="样式 1 Char"/>
    <w:link w:val="19"/>
    <w:qFormat/>
    <w:uiPriority w:val="0"/>
    <w:rPr>
      <w:rFonts w:ascii="Times New Roman" w:hAnsi="Times New Roman" w:eastAsia="黑体" w:cs="Times New Roman"/>
      <w:b/>
      <w:bCs/>
      <w:kern w:val="2"/>
      <w:sz w:val="28"/>
      <w:szCs w:val="28"/>
    </w:rPr>
  </w:style>
  <w:style w:type="paragraph" w:customStyle="1" w:styleId="21">
    <w:name w:val="样式2"/>
    <w:basedOn w:val="1"/>
    <w:link w:val="22"/>
    <w:qFormat/>
    <w:uiPriority w:val="0"/>
    <w:pPr>
      <w:numPr>
        <w:ilvl w:val="2"/>
        <w:numId w:val="1"/>
      </w:numPr>
      <w:spacing w:line="360" w:lineRule="auto"/>
      <w:outlineLvl w:val="3"/>
    </w:pPr>
    <w:rPr>
      <w:b/>
      <w:szCs w:val="21"/>
    </w:rPr>
  </w:style>
  <w:style w:type="character" w:customStyle="1" w:styleId="22">
    <w:name w:val="样式2 Char"/>
    <w:link w:val="21"/>
    <w:qFormat/>
    <w:uiPriority w:val="0"/>
    <w:rPr>
      <w:rFonts w:ascii="Times New Roman" w:hAnsi="Times New Roman" w:eastAsia="宋体" w:cs="Times New Roman"/>
      <w:b/>
      <w:kern w:val="2"/>
      <w:sz w:val="21"/>
      <w:szCs w:val="21"/>
    </w:rPr>
  </w:style>
  <w:style w:type="paragraph" w:customStyle="1" w:styleId="23">
    <w:name w:val="样式3"/>
    <w:basedOn w:val="1"/>
    <w:link w:val="24"/>
    <w:qFormat/>
    <w:uiPriority w:val="0"/>
    <w:pPr>
      <w:numPr>
        <w:ilvl w:val="3"/>
        <w:numId w:val="1"/>
      </w:numPr>
      <w:spacing w:line="360" w:lineRule="auto"/>
      <w:outlineLvl w:val="4"/>
    </w:pPr>
    <w:rPr>
      <w:b/>
      <w:szCs w:val="21"/>
    </w:rPr>
  </w:style>
  <w:style w:type="character" w:customStyle="1" w:styleId="24">
    <w:name w:val="样式3 Char"/>
    <w:link w:val="23"/>
    <w:qFormat/>
    <w:uiPriority w:val="0"/>
    <w:rPr>
      <w:rFonts w:ascii="Times New Roman" w:hAnsi="Times New Roman" w:eastAsia="宋体" w:cs="Times New Roman"/>
      <w:b/>
      <w:kern w:val="2"/>
      <w:sz w:val="21"/>
      <w:szCs w:val="21"/>
    </w:rPr>
  </w:style>
  <w:style w:type="paragraph" w:customStyle="1" w:styleId="25">
    <w:name w:val="样式4"/>
    <w:basedOn w:val="1"/>
    <w:link w:val="26"/>
    <w:qFormat/>
    <w:uiPriority w:val="0"/>
    <w:pPr>
      <w:numPr>
        <w:ilvl w:val="4"/>
        <w:numId w:val="1"/>
      </w:numPr>
      <w:spacing w:line="360" w:lineRule="auto"/>
      <w:jc w:val="center"/>
      <w:outlineLvl w:val="5"/>
    </w:pPr>
    <w:rPr>
      <w:b/>
      <w:szCs w:val="21"/>
    </w:rPr>
  </w:style>
  <w:style w:type="character" w:customStyle="1" w:styleId="26">
    <w:name w:val="样式4 Char"/>
    <w:link w:val="25"/>
    <w:qFormat/>
    <w:uiPriority w:val="0"/>
    <w:rPr>
      <w:rFonts w:ascii="Times New Roman" w:hAnsi="Times New Roman" w:eastAsia="宋体" w:cs="Times New Roman"/>
      <w:b/>
      <w:kern w:val="2"/>
      <w:sz w:val="21"/>
      <w:szCs w:val="21"/>
    </w:rPr>
  </w:style>
  <w:style w:type="character" w:customStyle="1" w:styleId="27">
    <w:name w:val="段 Char"/>
    <w:link w:val="15"/>
    <w:qFormat/>
    <w:uiPriority w:val="0"/>
    <w:rPr>
      <w:rFonts w:ascii="宋体" w:hAnsi="宋体" w:eastAsia="宋体"/>
      <w:kern w:val="2"/>
      <w:sz w:val="21"/>
      <w:szCs w:val="22"/>
    </w:rPr>
  </w:style>
  <w:style w:type="paragraph" w:customStyle="1" w:styleId="28">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9">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30">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31">
    <w:name w:val="批注主题 字符"/>
    <w:basedOn w:val="30"/>
    <w:link w:val="7"/>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6509E-8B68-4BA1-8D9E-BAC15A5A57B3}">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3044</Words>
  <Characters>3144</Characters>
  <Lines>22</Lines>
  <Paragraphs>6</Paragraphs>
  <TotalTime>2</TotalTime>
  <ScaleCrop>false</ScaleCrop>
  <LinksUpToDate>false</LinksUpToDate>
  <CharactersWithSpaces>3146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2026-06-11T11:52:00Z</dcterms:created>
  <dc:creator>lenovo。</dc:creator>
  <cp:lastModifiedBy>Wendy</cp:lastModifiedBy>
  <cp:lastPrinted>2025-06-25T06:40:00Z</cp:lastPrinted>
  <dcterms:modified xsi:type="dcterms:W3CDTF">2026-07-13T01:10:32Z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AE633DC69CF94A0B91A3C647731FE013_13</vt:lpwstr>
  </property>
  <property fmtid="{D5CDD505-2E9C-101B-9397-08002B2CF9AE}" pid="4" name="KSOTemplateDocerSaveRecord">
    <vt:lpwstr>eyJoZGlkIjoiODIxNmQzZGYyNGY3MDg0NDkxNmZjZWI0NmVlOWNhOTIiLCJ1c2VySWQiOiIxMjA1ODI2ODAwIn0=</vt:lpwstr>
  </property>
</Properties>
</file>